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E" w:rsidRPr="0000358F" w:rsidRDefault="00F81A2E" w:rsidP="0000358F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تذ</w:t>
      </w:r>
      <w:r w:rsidR="00B63621" w:rsidRPr="0000358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كير الخَلَف بأنَّ بدأ</w:t>
      </w:r>
      <w:r w:rsidR="00DF01FA" w:rsidRPr="0000358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خطبتي</w:t>
      </w:r>
      <w:r w:rsidRPr="0000358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العيد بالتكبير هو المنقول عن السَّلف</w:t>
      </w:r>
    </w:p>
    <w:p w:rsidR="00DF01FA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F81A2E" w:rsidRPr="0000358F" w:rsidRDefault="00B63621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الحمد لله ذي الطَّ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و</w:t>
      </w:r>
      <w:r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ل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والإنعام،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وص</w:t>
      </w:r>
      <w:r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ل</w:t>
      </w:r>
      <w:r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ى الله وس</w:t>
      </w:r>
      <w:r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ل</w:t>
      </w:r>
      <w:r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 وبارك على الن</w:t>
      </w:r>
      <w:r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بي الهاشمي المبعوث إلى خير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الأ</w:t>
      </w:r>
      <w:r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وعلى آله وأصحابه وأتباعه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الكرام،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ما تعاقبت الشهور والأعوام.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أم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 </w:t>
      </w:r>
      <w:proofErr w:type="spellStart"/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بعد،</w:t>
      </w:r>
      <w:proofErr w:type="spellEnd"/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ُّ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ها الخطيب الناصح 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زادك الله فهم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ًا وفقهًا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ومتابعة للس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لف</w:t>
      </w:r>
      <w:r w:rsidR="00B63621"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الصالح ــ</w:t>
      </w:r>
      <w:r w:rsidRPr="0000358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</w:p>
    <w:p w:rsidR="00DF01FA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فإن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>ا ج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رى عليه عمل الس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لف الصالح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الماضين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0358F">
        <w:rPr>
          <w:rFonts w:ascii="Times New Roman" w:hAnsi="Times New Roman" w:cs="Times New Roman" w:hint="cs"/>
          <w:sz w:val="36"/>
          <w:szCs w:val="36"/>
          <w:rtl/>
        </w:rPr>
        <w:t xml:space="preserve"> والأئمة المُتقدِّمين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B63621" w:rsidRPr="0000358F">
        <w:rPr>
          <w:rFonts w:ascii="Times New Roman" w:hAnsi="Times New Roman" w:cs="Times New Roman"/>
          <w:sz w:val="36"/>
          <w:szCs w:val="36"/>
          <w:rtl/>
        </w:rPr>
        <w:t>ــ:</w:t>
      </w:r>
    </w:p>
    <w:p w:rsidR="00F81A2E" w:rsidRPr="0000358F" w:rsidRDefault="0000358F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بدأ خ</w:t>
      </w:r>
      <w:r w:rsidR="00B63621" w:rsidRPr="0000358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طبتي عيد الفطر وعيد الأضحى 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الأولى والثانية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بالتكبير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0358F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ودونك 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سد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دك الله 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 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ما وقف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 عليه مِن الآثار والأقوال الواردة عنهم في ت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قرير 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وتثبيت 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الب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دء</w:t>
      </w:r>
      <w:r w:rsidR="00B63621" w:rsidRPr="0000358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بالتكبير</w:t>
      </w:r>
      <w:r w:rsidR="0000358F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</w:t>
      </w:r>
      <w:r w:rsidR="004E25B7"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لًا: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 الإمام موفق الد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ِّ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قدامة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الحنبلي 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في كتابه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الـم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غني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277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وقال سعيد 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عني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بِه</w:t>
      </w:r>
      <w:proofErr w:type="spellEnd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ابن منصور في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س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ننه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Pr="0000358F">
        <w:rPr>
          <w:rFonts w:ascii="Times New Roman" w:hAnsi="Times New Roman" w:cs="Times New Roman"/>
          <w:sz w:val="36"/>
          <w:szCs w:val="36"/>
          <w:rtl/>
        </w:rPr>
        <w:t>:</w:t>
      </w:r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حدثنا يعقوب بن عبد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أبيه،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بيد الله بن عبد الله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تبة،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DF01FA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يُكَبِّرُ الْإِمَامُ عَلَى الْمِنْبَرِ يَوْمَ الْعِيدِ قَبْلَ أَنْ يَخْطُبَ تِسْعَ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تَكْبِيرَاتٍ،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يَخْطُبُ،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الثَّانِيَةِ سَبْعَ تَكْبِيرَاتٍ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وإسناد صحيح.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(ع</w:t>
      </w:r>
      <w:r w:rsidR="004E25B7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بيد الله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قد قال عنه الحافظ ابن عبد الب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ر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ِّ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النَّمري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المالكي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في كتابه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التمهيد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(9/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7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يُك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ن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ى أبا عبد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كان أحد الفقهاء العشرة ثم السَّبعة الذين عليهم كانت الفتوى تدور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بالمدينة،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وكان عالمًا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فاضلًا،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قد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مًا في الفقه</w:t>
      </w: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 xml:space="preserve">عنه </w:t>
      </w:r>
      <w:r w:rsidRPr="0000358F">
        <w:rPr>
          <w:rFonts w:ascii="Times New Roman" w:hAnsi="Times New Roman" w:cs="Times New Roman"/>
          <w:sz w:val="36"/>
          <w:szCs w:val="36"/>
          <w:rtl/>
        </w:rPr>
        <w:t>الحافظ ابن ح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ب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>ان البُس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تي 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في كتابه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الثقات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63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أبو عبد الله مِن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سادات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وكان ي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د من الفقهاء الس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بعة</w:t>
      </w: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F01FA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وأخرجه 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</w:p>
    <w:p w:rsidR="00F81A2E" w:rsidRPr="0000358F" w:rsidRDefault="004E25B7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الحافظ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ابن أبي ش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يبة 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صن</w:t>
      </w:r>
      <w:r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فه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(5866-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باب التكبير على الم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نبر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)</w:t>
      </w:r>
      <w:r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فقال:</w:t>
      </w:r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حدثنا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وكيع،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سفيان،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محمد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[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بن عبد الله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]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بن عبد الرحمن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القاريّ،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عبيد الله بن عبد الله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عتبة،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DF01FA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السُّنَّةِ أَنْ يُكَبِّرَ الْإِمَامُ عَلَى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الْمِنْبَرِ،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الْعِيدَيْنِ،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تِسْعًا قَبْلَ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الْخُطْبَةِ،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وَسَبْعًا بَعْدَهَا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0358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وقال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عبد الرزاق </w:t>
      </w:r>
      <w:proofErr w:type="spellStart"/>
      <w:r w:rsidR="004E25B7" w:rsidRPr="0000358F">
        <w:rPr>
          <w:rFonts w:ascii="Times New Roman" w:hAnsi="Times New Roman" w:cs="Times New Roman"/>
          <w:sz w:val="36"/>
          <w:szCs w:val="36"/>
          <w:rtl/>
        </w:rPr>
        <w:t>الصنعاني</w:t>
      </w:r>
      <w:proofErr w:type="spellEnd"/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ــ رحمه الله ــ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صن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فه</w:t>
      </w:r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4E25B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(5672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عن محمد ب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ن عبد الله بن عبد الرحمن بن عبدٍ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القاريّ،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عن 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بيد الله بن عبد الله بن ع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تبة بن مسعود أن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DF01FA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يُكَبِّرُ الْإِمَامُ يَوْمَ الْفِطْرِ قَبْلَ أَنْ يَخْطُبَ تِسْعًا حِينَ يُرِيدُ الْقِيَامَ وَسَبْعًا فِي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عَالَجْتُهُ عَلَى أَنْ يُفَسِّرَ لِي أَحْسَنَ مِنْ هَذَا فَلَمْ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يَسْتَطِعْ،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فَظَنَنْتُ أَنَّ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قَوْلَهُ: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حِينَ يُرِيدُ الْقِيَامَ فِي الْخُطْبَةِ الْآخِرَةِ</w:t>
      </w:r>
      <w:r w:rsidR="00DF01FA"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ورجال إسنادهما أئمة ثقات غير محمد بن </w:t>
      </w:r>
      <w:r w:rsidR="0000358F">
        <w:rPr>
          <w:rFonts w:ascii="Times New Roman" w:hAnsi="Times New Roman" w:cs="Times New Roman"/>
          <w:sz w:val="36"/>
          <w:szCs w:val="36"/>
          <w:rtl/>
        </w:rPr>
        <w:t>عبد الله بن عبد الرحمن القاريّ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فقد ذ</w:t>
      </w:r>
      <w:r w:rsidR="004E25B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كره الحافظ ابن ح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ب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ان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ــ رحمه الله 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في كتابه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الثقات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وى عنه جم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="0000358F">
        <w:rPr>
          <w:rFonts w:ascii="Times New Roman" w:hAnsi="Times New Roman" w:cs="Times New Roman" w:hint="cs"/>
          <w:sz w:val="36"/>
          <w:szCs w:val="36"/>
          <w:rtl/>
        </w:rPr>
        <w:t>الثقات</w:t>
      </w:r>
      <w:r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نهم: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الز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ُّ</w:t>
      </w:r>
      <w:r w:rsidRPr="0000358F">
        <w:rPr>
          <w:rFonts w:ascii="Times New Roman" w:hAnsi="Times New Roman" w:cs="Times New Roman"/>
          <w:sz w:val="36"/>
          <w:szCs w:val="36"/>
          <w:rtl/>
        </w:rPr>
        <w:t>هري،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وسفيان،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ر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راشد،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وابنه عبد الرحمن.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ثله يتقوى بما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قبله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r w:rsidRPr="0000358F">
        <w:rPr>
          <w:rFonts w:ascii="Times New Roman" w:hAnsi="Times New Roman" w:cs="Times New Roman"/>
          <w:sz w:val="36"/>
          <w:szCs w:val="36"/>
          <w:rtl/>
        </w:rPr>
        <w:t>بعد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ه.</w:t>
      </w:r>
    </w:p>
    <w:p w:rsidR="0000358F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تابعه على 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لفظ:</w:t>
      </w:r>
      <w:proofErr w:type="spellEnd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السُّنَّةِ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أخوه:</w:t>
      </w:r>
      <w:proofErr w:type="spellEnd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إبراهيم بن محمد بن عبد الله بن عبد القاريّ.</w:t>
      </w:r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حيث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قال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 الحافظ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س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ننه</w:t>
      </w:r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(6216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أخبرنا أبو الحسن علي بن أحمد بن عبدان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الأهوازي،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أنبأ أبو بكر أحمد بن محمود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خَرَّزَاذ،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موسى بن إسحاق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القاضي،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مُحْرِز بن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سل</w:t>
      </w:r>
      <w:r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مة،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الدَّرَاوَرْدِي،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عن عبد الرحمن بن عبدٍ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القاريّ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أن إبراهيم بن عبد الله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حدَّثه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عن عُبيد الله بن عبد الله بن عُتبة بن مسعود أن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السُّنَّةِ تَكْبِيرُ الْإِمَامِ يَوْمَ الْفِطْرِ وَيَوْمَ الْأَضْحَى حِينَ يَجْلِسُ عَلَى  الْمِنْبَرِ قَبْلَ الْخُطْبَةِ تِسْعَ تَكْبِيرَاتٍ وَسَبْعًا حِينَ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يَقُومُ،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يَدْعُو وَيُكَبِّرُ بَعْدَمَا بَدَأَ لَهُ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0358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0358F" w:rsidRDefault="00D60042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ورَواه غيره عن إبراهيم عن عُبيد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الله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F01FA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تِسْعًا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تَتْرَى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قَامَ فِي الْأُولَى وَسَبْعًا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تَتْرَى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قَامَ فِي الْخُطْبَةِ الثَّانِيَةِ 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DF01FA"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الإمام عبد الرحمن بن أبي حاتم </w:t>
      </w:r>
      <w:r w:rsidR="00D60042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كتابه 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الجرح 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والتعديل</w:t>
      </w:r>
      <w:r w:rsidR="00DF01FA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proofErr w:type="spellEnd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(382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إبراهيم بن محمد بن عبد الله بن عبدٍ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القاريّ،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وى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عن: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السائب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يزيد،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وى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عنه: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أخوه عبد الرحمن بن محمد بن عبد الله بن عبد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القارى،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سمعت أبي </w:t>
      </w:r>
      <w:r w:rsidR="00F81A2E" w:rsidRPr="0000358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يقول ذلك</w:t>
      </w:r>
      <w:r w:rsidRPr="0000358F">
        <w:rPr>
          <w:rFonts w:ascii="Times New Roman" w:hAnsi="Times New Roman" w:cs="Times New Roman"/>
          <w:b/>
          <w:bCs/>
          <w:color w:val="806000" w:themeColor="accent4" w:themeShade="80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.اهـ</w:t>
      </w:r>
    </w:p>
    <w:p w:rsidR="0000358F" w:rsidRPr="0000358F" w:rsidRDefault="0000358F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وقد احتجَّ بأثره هذا</w:t>
      </w:r>
      <w:r w:rsidRPr="0000358F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إمام أهل الس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ُّ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نة والحديث أحمد بن حنبل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ــ رحمه الله ــ</w:t>
      </w:r>
      <w:r w:rsidRPr="0000358F">
        <w:rPr>
          <w:rFonts w:ascii="Times New Roman" w:hAnsi="Times New Roman" w:cs="Times New Roman"/>
          <w:sz w:val="36"/>
          <w:szCs w:val="36"/>
          <w:rtl/>
        </w:rPr>
        <w:t>.</w:t>
      </w:r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إسحاق ابن م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فلح الحنبلي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بد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 في شرح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قن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قال 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بيد الله بن عبد الله بن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تبه: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 م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السُّنَّة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الحسن </w:t>
      </w:r>
      <w:proofErr w:type="spellStart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00358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اوردي</w:t>
      </w:r>
      <w:proofErr w:type="spellEnd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00358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الحاوي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الكبير</w:t>
      </w:r>
      <w:r w:rsidR="0000358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493</w:t>
      </w:r>
      <w:proofErr w:type="spellStart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وقوله: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السٌّنَّة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حتمل أن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يكون أراد سُنَّة رسول الله صلى الله عليه وسلم أو سُنَّة الصحابة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00358F">
        <w:rPr>
          <w:rFonts w:ascii="Times New Roman" w:hAnsi="Times New Roman" w:cs="Times New Roman"/>
          <w:sz w:val="36"/>
          <w:szCs w:val="36"/>
          <w:rtl/>
        </w:rPr>
        <w:t>ــ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وأي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ُّ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هما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كان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فالاقتداء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ب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حس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ن</w:t>
      </w:r>
      <w:r w:rsidR="00DF01FA"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DF01F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</w:t>
      </w:r>
      <w:r w:rsidR="00F81A2E"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الحافظ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ابن أبي شيبة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صن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فه</w:t>
      </w:r>
      <w:r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(5867 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باب التكبير على الم</w:t>
      </w:r>
      <w:r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نبر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حدثنا أبو داود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الطيالسي،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الحسن بن أبي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الحسناء،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الحسن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00358F" w:rsidRDefault="0000358F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يُكَبَّرُ عَلَى الْمِنْبَرِ يَوْمَ الْعِيدَيْنِ أَرْبَعُ عَشْرَةَ تَكْبِيرَةً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0358F" w:rsidRDefault="0000358F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00358F">
        <w:rPr>
          <w:rFonts w:ascii="Times New Roman" w:hAnsi="Times New Roman" w:cs="Times New Roman" w:hint="cs"/>
          <w:b/>
          <w:bCs/>
          <w:sz w:val="36"/>
          <w:szCs w:val="36"/>
          <w:rtl/>
        </w:rPr>
        <w:t>يعني: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عند افتتاح الخطبة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الأولى،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وافتتاح الخطبة الثانية.</w:t>
      </w:r>
    </w:p>
    <w:p w:rsidR="00F81A2E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00358F" w:rsidRPr="0000358F" w:rsidRDefault="0000358F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والحسن البصري مِن التابعين تلامذة الصحابة ــ رحمه الله ــ.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ثالثًا: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 عبد الرزاق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الصنعاني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صن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>فه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290 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رقم:5671 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باب: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التكبير في الخطبة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>م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عن إسماعيل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أ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مي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DF01FA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سَمِعْتُ أَنَّهُ يُكَبَّرُ فِي الْعِيدِ تِسْعًا وَسَبْعًا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وإسماعيل بن أ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مي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ة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sz w:val="36"/>
          <w:szCs w:val="36"/>
          <w:rtl/>
        </w:rPr>
        <w:t>مِن أتباع التابعين.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الحافظ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الف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ريابي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في كتابه 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أحكام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العيدين</w:t>
      </w:r>
      <w:r w:rsidR="00DF01FA" w:rsidRPr="0000358F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60042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0358F">
        <w:rPr>
          <w:rFonts w:ascii="Times New Roman" w:hAnsi="Times New Roman" w:cs="Times New Roman"/>
          <w:sz w:val="36"/>
          <w:szCs w:val="36"/>
          <w:rtl/>
        </w:rPr>
        <w:t>(141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إسحاق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موسى،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ثنا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مَعْن،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قال مالك وابن أبي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ذِئْب:</w:t>
      </w:r>
      <w:proofErr w:type="spellEnd"/>
      <w:r w:rsidR="00DF01FA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يَبْدَأُ الْإِمَامُ يَوْمَ الْعِيدِ إِذَا صَعِدَ الْمِنْبَرَ بِالتَّكْبِيرِ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00358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ر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شد </w:t>
      </w:r>
      <w:r w:rsidR="0000358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القرطبي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المالكي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البيان والتحصيل </w:t>
      </w:r>
      <w:proofErr w:type="spellStart"/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300</w:t>
      </w:r>
      <w:proofErr w:type="spellStart"/>
      <w:r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81A2E" w:rsidRPr="0000358F" w:rsidRDefault="0032769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مالك: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 السُّنَّة أن يُكبِّ</w:t>
      </w:r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الإمام إذا ص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َعد المنبر في </w:t>
      </w:r>
      <w:proofErr w:type="spellStart"/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العيدين،</w:t>
      </w:r>
      <w:proofErr w:type="spellEnd"/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ويُكبِّ</w:t>
      </w:r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 في الخطبة الثانية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60042" w:rsidRPr="0000358F" w:rsidRDefault="00D60042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00358F" w:rsidRPr="0000358F" w:rsidRDefault="0032769A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والتكبير في بداية خُطبتي العيد</w:t>
      </w:r>
      <w:r w:rsidR="0000358F" w:rsidRPr="0000358F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ه</w:t>
      </w:r>
      <w:r w:rsidR="0000358F" w:rsidRPr="0000358F"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و: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مذهب الأئمة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أبي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حنيفة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ومالك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والشافعي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وأحمد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حنبل،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وقول ابن أبي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ذئب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الم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نذر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623922" w:rsidRPr="00623922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</w:pPr>
      <w:r w:rsidRPr="006239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بل جاء في </w:t>
      </w:r>
      <w:r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 xml:space="preserve">كتب </w:t>
      </w:r>
      <w:r w:rsidRPr="00623922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مذاهب الأئمة الأربعة</w:t>
      </w:r>
      <w:r w:rsidRPr="00623922"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:</w:t>
      </w:r>
    </w:p>
    <w:p w:rsidR="00F81A2E" w:rsidRPr="0000358F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أن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ه يُسَن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ويُستحَب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81A2E" w:rsidRPr="0000358F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62392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فقيه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أبو عبد الله بن م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فل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 الحنبلي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الفروع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141-142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23922" w:rsidRDefault="0032769A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ويُسَن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ستفتح الأولى بتسع تكبيرات </w:t>
      </w:r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</w:t>
      </w:r>
      <w:proofErr w:type="spellStart"/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وم)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نسقًا </w:t>
      </w:r>
      <w:r w:rsidR="00F81A2E" w:rsidRPr="00623922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(و</w:t>
      </w:r>
      <w:proofErr w:type="spellStart"/>
      <w:r w:rsidR="00F81A2E" w:rsidRPr="00623922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)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…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والثانية بسبع </w:t>
      </w:r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(وش</w:t>
      </w:r>
      <w:proofErr w:type="spellStart"/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="00623922">
        <w:rPr>
          <w:rFonts w:ascii="Times New Roman" w:hAnsi="Times New Roman" w:cs="Times New Roman" w:hint="cs"/>
          <w:sz w:val="36"/>
          <w:szCs w:val="36"/>
          <w:rtl/>
        </w:rPr>
        <w:t>...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أحمد: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وقال 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بيد الله بن عبد الله بن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ع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تبة: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 م</w:t>
      </w:r>
      <w:r w:rsidR="00D60042"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 السُّنَّة </w:t>
      </w:r>
      <w:proofErr w:type="spellStart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32769A"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جمال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يوسف بن عبد الهادي الحنبلي </w:t>
      </w:r>
      <w:r w:rsidR="00D60042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مغني ذوي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الأفهام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350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مع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شرحه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غاية </w:t>
      </w:r>
      <w:proofErr w:type="spellStart"/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المرام</w:t>
      </w:r>
      <w:r w:rsidR="0032769A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00358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81A2E" w:rsidRPr="0000358F" w:rsidRDefault="0032769A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ي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كب</w:t>
      </w:r>
      <w:r w:rsidR="00D60042" w:rsidRPr="0000358F">
        <w:rPr>
          <w:rFonts w:ascii="Times New Roman" w:hAnsi="Times New Roman" w:cs="Times New Roman"/>
          <w:sz w:val="36"/>
          <w:szCs w:val="36"/>
          <w:rtl/>
        </w:rPr>
        <w:t>ِّ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ر </w:t>
      </w:r>
      <w:r w:rsidR="00F81A2E" w:rsidRPr="00623922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(و</w:t>
      </w:r>
      <w:proofErr w:type="spellStart"/>
      <w:r w:rsidR="00F81A2E" w:rsidRPr="00623922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)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في الأولى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نسقًا،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وسَنَّ </w:t>
      </w:r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(خ</w:t>
      </w:r>
      <w:proofErr w:type="spellStart"/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A2E" w:rsidRPr="0000358F">
        <w:rPr>
          <w:rFonts w:ascii="Times New Roman" w:hAnsi="Times New Roman" w:cs="Times New Roman"/>
          <w:sz w:val="36"/>
          <w:szCs w:val="36"/>
          <w:rtl/>
        </w:rPr>
        <w:t>تسعًا،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وأكبر </w:t>
      </w:r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(وش</w:t>
      </w:r>
      <w:proofErr w:type="spellStart"/>
      <w:r w:rsidR="00F81A2E"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في الثانية سبعًا</w:t>
      </w:r>
      <w:r w:rsidRPr="0000358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0358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والواو </w:t>
      </w:r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(و</w:t>
      </w:r>
      <w:proofErr w:type="spellStart"/>
      <w:r w:rsidRPr="0000358F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تعني: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اتفاق المذاهب الأربعة 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على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ح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كم المسألة.</w:t>
      </w:r>
    </w:p>
    <w:p w:rsidR="00F81A2E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62392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وقال 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فقيه عبد الرحمن ابن 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قاسم </w:t>
      </w:r>
      <w:r w:rsidR="00D60042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ــ رحمه الله ــ 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 w:rsidR="00D60042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كتابه 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حاشية الر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وض </w:t>
      </w:r>
      <w:proofErr w:type="spellStart"/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رب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F81A2E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</w:t>
      </w:r>
      <w:r w:rsidR="0032769A" w:rsidRPr="0062392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551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</w:p>
    <w:p w:rsidR="00623922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وفاقًا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623922">
        <w:rPr>
          <w:rFonts w:ascii="Times New Roman" w:hAnsi="Times New Roman" w:cs="Times New Roman" w:hint="cs"/>
          <w:sz w:val="36"/>
          <w:szCs w:val="36"/>
          <w:rtl/>
        </w:rPr>
        <w:t>.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اهـ</w:t>
      </w:r>
    </w:p>
    <w:p w:rsidR="00623922" w:rsidRPr="00623922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623922">
        <w:rPr>
          <w:rFonts w:ascii="Times New Roman" w:hAnsi="Times New Roman" w:cs="Times New Roman" w:hint="cs"/>
          <w:b/>
          <w:bCs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623922">
        <w:rPr>
          <w:rFonts w:ascii="Times New Roman" w:hAnsi="Times New Roman" w:cs="Times New Roman" w:hint="cs"/>
          <w:b/>
          <w:bCs/>
          <w:sz w:val="36"/>
          <w:szCs w:val="36"/>
          <w:rtl/>
        </w:rPr>
        <w:t>عني:</w:t>
      </w:r>
      <w:proofErr w:type="spellEnd"/>
      <w:r w:rsidRPr="00623922">
        <w:rPr>
          <w:rFonts w:ascii="Times New Roman" w:hAnsi="Times New Roman" w:cs="Times New Roman" w:hint="cs"/>
          <w:sz w:val="36"/>
          <w:szCs w:val="36"/>
          <w:rtl/>
        </w:rPr>
        <w:t xml:space="preserve"> باتفاق المذاهب الأربعة.</w:t>
      </w:r>
    </w:p>
    <w:p w:rsidR="0032769A" w:rsidRPr="0000358F" w:rsidRDefault="0032769A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00358F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32769A" w:rsidRPr="00623922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ولم ي</w:t>
      </w:r>
      <w:r w:rsidR="00D60042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D60042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 </w:t>
      </w:r>
      <w:proofErr w:type="spellStart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proofErr w:type="spellEnd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بعد بحث </w:t>
      </w:r>
      <w:proofErr w:type="spellStart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طويل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</w:t>
      </w:r>
      <w:r w:rsidR="0032769A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ذاكرة مع 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عدد مِن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طلاب العلم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وأهله،</w:t>
      </w:r>
      <w:proofErr w:type="spellEnd"/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 أحد مِن الس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َّلف </w:t>
      </w:r>
      <w:proofErr w:type="spellStart"/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الصالح،</w:t>
      </w:r>
      <w:proofErr w:type="spellEnd"/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ولا 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أئمة 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الفقه 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تقد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مين أن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>ه قال</w:t>
      </w:r>
      <w:r w:rsidR="00C57ED7" w:rsidRPr="006239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</w:p>
    <w:p w:rsidR="00F81A2E" w:rsidRPr="0000358F" w:rsidRDefault="00C57ED7" w:rsidP="0062392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لا تُبدأ خُطْبَتَيِّ العيد بالتكبير</w:t>
      </w:r>
      <w:r w:rsidR="0062392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23922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و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الخروج عن جاد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>ة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 xml:space="preserve"> أئمَّتنا </w:t>
      </w:r>
      <w:proofErr w:type="spellStart"/>
      <w:r w:rsidR="00C57ED7" w:rsidRPr="0000358F">
        <w:rPr>
          <w:rFonts w:ascii="Times New Roman" w:hAnsi="Times New Roman" w:cs="Times New Roman"/>
          <w:sz w:val="36"/>
          <w:szCs w:val="36"/>
          <w:rtl/>
        </w:rPr>
        <w:t>الماضين،</w:t>
      </w:r>
      <w:proofErr w:type="spellEnd"/>
      <w:r w:rsidR="00C57ED7" w:rsidRPr="0000358F">
        <w:rPr>
          <w:rFonts w:ascii="Times New Roman" w:hAnsi="Times New Roman" w:cs="Times New Roman"/>
          <w:sz w:val="36"/>
          <w:szCs w:val="36"/>
          <w:rtl/>
        </w:rPr>
        <w:t xml:space="preserve"> وفقهائنا الأوَّلِين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صعب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7ED7" w:rsidRPr="0000358F">
        <w:rPr>
          <w:rFonts w:ascii="Times New Roman" w:hAnsi="Times New Roman" w:cs="Times New Roman"/>
          <w:sz w:val="36"/>
          <w:szCs w:val="36"/>
          <w:rtl/>
        </w:rPr>
        <w:t>وشديد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1A2E" w:rsidRPr="0000358F">
        <w:rPr>
          <w:rFonts w:ascii="Times New Roman" w:hAnsi="Times New Roman" w:cs="Times New Roman"/>
          <w:sz w:val="36"/>
          <w:szCs w:val="36"/>
          <w:rtl/>
        </w:rPr>
        <w:t xml:space="preserve"> والعمل بخلافهم ليس ب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ر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="00F81A2E" w:rsidRPr="0000358F">
        <w:rPr>
          <w:rFonts w:ascii="Times New Roman" w:hAnsi="Times New Roman" w:cs="Times New Roman"/>
          <w:sz w:val="36"/>
          <w:szCs w:val="36"/>
          <w:rtl/>
        </w:rPr>
        <w:t>شد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 xml:space="preserve"> ولا رَشَد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23922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لأن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َّ</w:t>
      </w:r>
      <w:r w:rsidRPr="0000358F">
        <w:rPr>
          <w:rFonts w:ascii="Times New Roman" w:hAnsi="Times New Roman" w:cs="Times New Roman"/>
          <w:sz w:val="36"/>
          <w:szCs w:val="36"/>
          <w:rtl/>
        </w:rPr>
        <w:t>هم عند الجميع أف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>ه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َ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للنصوص،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وأشد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ّ</w:t>
      </w:r>
      <w:r w:rsidR="00623922">
        <w:rPr>
          <w:rFonts w:ascii="Times New Roman" w:hAnsi="Times New Roman" w:cs="Times New Roman"/>
          <w:sz w:val="36"/>
          <w:szCs w:val="36"/>
          <w:rtl/>
        </w:rPr>
        <w:t xml:space="preserve"> في العمل </w:t>
      </w:r>
      <w:proofErr w:type="spellStart"/>
      <w:r w:rsidR="00623922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623922">
        <w:rPr>
          <w:rFonts w:ascii="Times New Roman" w:hAnsi="Times New Roman" w:cs="Times New Roman"/>
          <w:sz w:val="36"/>
          <w:szCs w:val="36"/>
          <w:rtl/>
        </w:rPr>
        <w:t xml:space="preserve"> وأحرص</w:t>
      </w:r>
      <w:r w:rsidR="0062392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23922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>بل إن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الأحاديث والآثار لا تُف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هم إلا على ضوء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ف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ُ</w:t>
      </w:r>
      <w:r w:rsidRPr="0000358F">
        <w:rPr>
          <w:rFonts w:ascii="Times New Roman" w:hAnsi="Times New Roman" w:cs="Times New Roman"/>
          <w:sz w:val="36"/>
          <w:szCs w:val="36"/>
          <w:rtl/>
        </w:rPr>
        <w:t>هوم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ِ</w:t>
      </w:r>
      <w:r w:rsidRPr="0000358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وإلا كان الخطأ والز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ّ</w:t>
      </w:r>
      <w:r w:rsidR="00623922">
        <w:rPr>
          <w:rFonts w:ascii="Times New Roman" w:hAnsi="Times New Roman" w:cs="Times New Roman"/>
          <w:sz w:val="36"/>
          <w:szCs w:val="36"/>
          <w:rtl/>
        </w:rPr>
        <w:t>لل</w:t>
      </w:r>
      <w:r w:rsidR="0062392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81A2E" w:rsidRPr="0000358F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وخطبة العيد أيضًا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ظاهرة،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يشهدونها ويسمعون كيف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تُبدأ؟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أبالتكبير أم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ْ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بالحمد.</w:t>
      </w:r>
    </w:p>
    <w:p w:rsidR="00623922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ولا تنافر </w:t>
      </w:r>
      <w:r w:rsidR="0032769A" w:rsidRPr="0000358F">
        <w:rPr>
          <w:rFonts w:ascii="Times New Roman" w:hAnsi="Times New Roman" w:cs="Times New Roman"/>
          <w:sz w:val="36"/>
          <w:szCs w:val="36"/>
          <w:rtl/>
        </w:rPr>
        <w:t xml:space="preserve">أيضًا 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بحمد الله 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بين التكبير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والحمد،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إذ هما جميعًا تعظيم لله 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>ــ</w:t>
      </w:r>
      <w:r w:rsidRPr="0000358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7ED7" w:rsidRPr="0000358F">
        <w:rPr>
          <w:rFonts w:ascii="Times New Roman" w:hAnsi="Times New Roman" w:cs="Times New Roman"/>
          <w:sz w:val="36"/>
          <w:szCs w:val="36"/>
          <w:rtl/>
        </w:rPr>
        <w:t xml:space="preserve">جلَّ وعزَّ ــ </w:t>
      </w:r>
      <w:r w:rsidRPr="0000358F">
        <w:rPr>
          <w:rFonts w:ascii="Times New Roman" w:hAnsi="Times New Roman" w:cs="Times New Roman"/>
          <w:sz w:val="36"/>
          <w:szCs w:val="36"/>
          <w:rtl/>
        </w:rPr>
        <w:t>وثناء عليه سبحانه</w:t>
      </w:r>
      <w:r w:rsidR="0062392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57ED7" w:rsidRPr="0000358F" w:rsidRDefault="00C57ED7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0358F">
        <w:rPr>
          <w:rFonts w:ascii="Times New Roman" w:hAnsi="Times New Roman" w:cs="Times New Roman"/>
          <w:sz w:val="36"/>
          <w:szCs w:val="36"/>
          <w:rtl/>
        </w:rPr>
        <w:t xml:space="preserve">فمَن بدأ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بالتكبير،</w:t>
      </w:r>
      <w:proofErr w:type="spellEnd"/>
      <w:r w:rsidRPr="0000358F">
        <w:rPr>
          <w:rFonts w:ascii="Times New Roman" w:hAnsi="Times New Roman" w:cs="Times New Roman"/>
          <w:sz w:val="36"/>
          <w:szCs w:val="36"/>
          <w:rtl/>
        </w:rPr>
        <w:t xml:space="preserve"> فقد حقَّق مقصود </w:t>
      </w:r>
      <w:proofErr w:type="spellStart"/>
      <w:r w:rsidRPr="0000358F">
        <w:rPr>
          <w:rFonts w:ascii="Times New Roman" w:hAnsi="Times New Roman" w:cs="Times New Roman"/>
          <w:sz w:val="36"/>
          <w:szCs w:val="36"/>
          <w:rtl/>
        </w:rPr>
        <w:t>الحمد</w:t>
      </w:r>
      <w:r w:rsidR="0062392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23922">
        <w:rPr>
          <w:rFonts w:ascii="Times New Roman" w:hAnsi="Times New Roman" w:cs="Times New Roman" w:hint="cs"/>
          <w:sz w:val="36"/>
          <w:szCs w:val="36"/>
          <w:rtl/>
        </w:rPr>
        <w:t xml:space="preserve"> وأثنَى على ثناء عظيمًا</w:t>
      </w:r>
      <w:r w:rsidRPr="0000358F">
        <w:rPr>
          <w:rFonts w:ascii="Times New Roman" w:hAnsi="Times New Roman" w:cs="Times New Roman"/>
          <w:sz w:val="36"/>
          <w:szCs w:val="36"/>
          <w:rtl/>
        </w:rPr>
        <w:t>.</w:t>
      </w:r>
    </w:p>
    <w:p w:rsidR="00810D86" w:rsidRPr="00623922" w:rsidRDefault="00623922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23922">
        <w:rPr>
          <w:rFonts w:ascii="Times New Roman" w:hAnsi="Times New Roman" w:cs="Times New Roman" w:hint="cs"/>
          <w:sz w:val="36"/>
          <w:szCs w:val="36"/>
          <w:rtl/>
        </w:rPr>
        <w:t xml:space="preserve">والحمد لله أوَّلًا </w:t>
      </w:r>
      <w:proofErr w:type="spellStart"/>
      <w:r w:rsidRPr="00623922">
        <w:rPr>
          <w:rFonts w:ascii="Times New Roman" w:hAnsi="Times New Roman" w:cs="Times New Roman" w:hint="cs"/>
          <w:sz w:val="36"/>
          <w:szCs w:val="36"/>
          <w:rtl/>
        </w:rPr>
        <w:t>وآخِرًا،</w:t>
      </w:r>
      <w:proofErr w:type="spellEnd"/>
      <w:r w:rsidRPr="00623922">
        <w:rPr>
          <w:rFonts w:ascii="Times New Roman" w:hAnsi="Times New Roman" w:cs="Times New Roman" w:hint="cs"/>
          <w:sz w:val="36"/>
          <w:szCs w:val="36"/>
          <w:rtl/>
        </w:rPr>
        <w:t xml:space="preserve"> وظاهرًا </w:t>
      </w:r>
      <w:proofErr w:type="spellStart"/>
      <w:r w:rsidRPr="00623922">
        <w:rPr>
          <w:rFonts w:ascii="Times New Roman" w:hAnsi="Times New Roman" w:cs="Times New Roman" w:hint="cs"/>
          <w:sz w:val="36"/>
          <w:szCs w:val="36"/>
          <w:rtl/>
        </w:rPr>
        <w:t>وباطنًا،</w:t>
      </w:r>
      <w:proofErr w:type="spellEnd"/>
      <w:r w:rsidRPr="00623922">
        <w:rPr>
          <w:rFonts w:ascii="Times New Roman" w:hAnsi="Times New Roman" w:cs="Times New Roman" w:hint="cs"/>
          <w:sz w:val="36"/>
          <w:szCs w:val="36"/>
          <w:rtl/>
        </w:rPr>
        <w:t xml:space="preserve"> وعلى كل </w:t>
      </w:r>
      <w:proofErr w:type="spellStart"/>
      <w:r w:rsidRPr="00623922">
        <w:rPr>
          <w:rFonts w:ascii="Times New Roman" w:hAnsi="Times New Roman" w:cs="Times New Roman" w:hint="cs"/>
          <w:sz w:val="36"/>
          <w:szCs w:val="36"/>
          <w:rtl/>
        </w:rPr>
        <w:t>حال،</w:t>
      </w:r>
      <w:proofErr w:type="spellEnd"/>
      <w:r w:rsidRPr="00623922">
        <w:rPr>
          <w:rFonts w:ascii="Times New Roman" w:hAnsi="Times New Roman" w:cs="Times New Roman" w:hint="cs"/>
          <w:sz w:val="36"/>
          <w:szCs w:val="36"/>
          <w:rtl/>
        </w:rPr>
        <w:t xml:space="preserve"> وفي الأولى والآخِرة.</w:t>
      </w:r>
    </w:p>
    <w:p w:rsidR="00810D86" w:rsidRPr="00623922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/>
          <w:color w:val="FF0000"/>
          <w:sz w:val="36"/>
          <w:szCs w:val="36"/>
          <w:rtl/>
        </w:rPr>
      </w:pPr>
      <w:r w:rsidRPr="006239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وكتبه:</w:t>
      </w:r>
    </w:p>
    <w:p w:rsidR="00F81A2E" w:rsidRDefault="00F81A2E" w:rsidP="0000358F">
      <w:pPr>
        <w:spacing w:line="276" w:lineRule="auto"/>
        <w:ind w:left="0"/>
        <w:jc w:val="left"/>
        <w:rPr>
          <w:rFonts w:ascii="Times New Roman" w:hAnsi="Times New Roman" w:cs="Times New Roman" w:hint="cs"/>
          <w:color w:val="00B050"/>
          <w:sz w:val="36"/>
          <w:szCs w:val="36"/>
          <w:rtl/>
        </w:rPr>
      </w:pPr>
      <w:r w:rsidRPr="006239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عبد القادر بن محمد بن عبد الرحمن </w:t>
      </w:r>
      <w:proofErr w:type="spellStart"/>
      <w:r w:rsidRPr="006239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الجنيد</w:t>
      </w:r>
      <w:proofErr w:type="spellEnd"/>
      <w:r w:rsidRPr="006239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.</w:t>
      </w:r>
    </w:p>
    <w:p w:rsidR="005F0833" w:rsidRPr="00623922" w:rsidRDefault="005F0833" w:rsidP="0000358F">
      <w:pPr>
        <w:spacing w:line="276" w:lineRule="auto"/>
        <w:ind w:left="0"/>
        <w:jc w:val="left"/>
        <w:rPr>
          <w:rFonts w:ascii="Times New Roman" w:hAnsi="Times New Roman" w:cs="Times New Roman"/>
          <w:color w:val="00B050"/>
          <w:sz w:val="36"/>
          <w:szCs w:val="36"/>
          <w:rtl/>
        </w:rPr>
      </w:pPr>
    </w:p>
    <w:p w:rsidR="000B70C3" w:rsidRPr="0000358F" w:rsidRDefault="000B70C3" w:rsidP="0000358F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00358F" w:rsidSect="0000358F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75" w:rsidRDefault="00F73075" w:rsidP="00CF25AF">
      <w:pPr>
        <w:spacing w:before="0" w:after="0"/>
      </w:pPr>
      <w:r>
        <w:separator/>
      </w:r>
    </w:p>
  </w:endnote>
  <w:endnote w:type="continuationSeparator" w:id="0">
    <w:p w:rsidR="00F73075" w:rsidRDefault="00F73075" w:rsidP="00CF25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0352315"/>
      <w:docPartObj>
        <w:docPartGallery w:val="Page Numbers (Bottom of Page)"/>
        <w:docPartUnique/>
      </w:docPartObj>
    </w:sdtPr>
    <w:sdtContent>
      <w:p w:rsidR="0000358F" w:rsidRDefault="0000358F">
        <w:pPr>
          <w:pStyle w:val="a4"/>
          <w:jc w:val="center"/>
        </w:pPr>
        <w:fldSimple w:instr=" PAGE   \* MERGEFORMAT ">
          <w:r w:rsidR="005F0833" w:rsidRPr="005F0833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CF25AF" w:rsidRDefault="00CF2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75" w:rsidRDefault="00F73075" w:rsidP="00CF25AF">
      <w:pPr>
        <w:spacing w:before="0" w:after="0"/>
      </w:pPr>
      <w:r>
        <w:separator/>
      </w:r>
    </w:p>
  </w:footnote>
  <w:footnote w:type="continuationSeparator" w:id="0">
    <w:p w:rsidR="00F73075" w:rsidRDefault="00F73075" w:rsidP="00CF25A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A2E"/>
    <w:rsid w:val="0000358F"/>
    <w:rsid w:val="000B70C3"/>
    <w:rsid w:val="000C5853"/>
    <w:rsid w:val="0030501F"/>
    <w:rsid w:val="0032769A"/>
    <w:rsid w:val="00370195"/>
    <w:rsid w:val="004E25B7"/>
    <w:rsid w:val="005F0833"/>
    <w:rsid w:val="00623922"/>
    <w:rsid w:val="00787814"/>
    <w:rsid w:val="00810D86"/>
    <w:rsid w:val="008D4102"/>
    <w:rsid w:val="00B63621"/>
    <w:rsid w:val="00C57ED7"/>
    <w:rsid w:val="00CF25AF"/>
    <w:rsid w:val="00D47B1D"/>
    <w:rsid w:val="00D60042"/>
    <w:rsid w:val="00DF01FA"/>
    <w:rsid w:val="00EC303A"/>
    <w:rsid w:val="00F06306"/>
    <w:rsid w:val="00F73075"/>
    <w:rsid w:val="00F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5AF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CF25AF"/>
  </w:style>
  <w:style w:type="paragraph" w:styleId="a4">
    <w:name w:val="footer"/>
    <w:basedOn w:val="a"/>
    <w:link w:val="Char0"/>
    <w:uiPriority w:val="99"/>
    <w:unhideWhenUsed/>
    <w:rsid w:val="00CF25AF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CF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020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99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75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111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67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53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3869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462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4326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0663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956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3110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2023-06-23T02:23:00Z</cp:lastPrinted>
  <dcterms:created xsi:type="dcterms:W3CDTF">2019-08-07T12:15:00Z</dcterms:created>
  <dcterms:modified xsi:type="dcterms:W3CDTF">2023-06-23T02:23:00Z</dcterms:modified>
</cp:coreProperties>
</file>