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B" w:rsidRDefault="005829FB" w:rsidP="005829FB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أمور تُفسِد الصيام وأمور لا تُفسِده</w:t>
      </w:r>
    </w:p>
    <w:p w:rsidR="005829FB" w:rsidRPr="005829FB" w:rsidRDefault="005829FB" w:rsidP="005829FB">
      <w:pPr>
        <w:ind w:left="0"/>
        <w:jc w:val="left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5829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5829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5829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</w:t>
      </w:r>
    </w:p>
    <w:p w:rsidR="005829FB" w:rsidRDefault="005829FB" w:rsidP="005829F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وأكبِّرُهُ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تكبيرًا،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 ورسولُه المبعوثُ بشيرًا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ونذيرًا،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فصَلِّ وسلِّم عليهِ بُكرَةً وأصيلًا.</w:t>
      </w:r>
    </w:p>
    <w:p w:rsidR="005829FB" w:rsidRDefault="005829FB" w:rsidP="005829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5829FB" w:rsidRDefault="005829FB" w:rsidP="005829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فأنَّ مُفسِداتِ الصومٍ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لَعديدةٌ،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وأنَّ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مِنها: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الأكلَ،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والشُّربَ،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والجِماعَ،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مُفطِّراتُ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بنصِّ القرآنِ والسُّنَّةِ النَّبويةِ واتفاقِ العلماء.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إخراجُ القَيءِ عمدًا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وذلك: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بإخراجِ ما في المَعدةِ مِن طعامٍ وشرابٍ بإدخالِ إصبَعٍ أو غيرِهِ.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إخراجُ المَنِيِّ عن طريقِ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الاستمناءِ،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مُفسِّدٌ للصومِ عندَ الأئمةِ الأربعةِ وسائرِ فقهاءِ الأمصار.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إنزالُ المَنِيِّ بسببِ تَقبِيلٍ أو مَسٍّ أو ضَمٍّ أو مُباشَرةٍ للمرأةِ فيما دُونَ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الفرْجِ،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مُفسِّدٌ للصومِ باتفاقِ العلماء.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السَّعُوطُ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وصلَ طعمُهُ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الحلق،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والسَّعُوطُ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: </w:t>
      </w:r>
      <w:r>
        <w:rPr>
          <w:rFonts w:ascii="Times New Roman" w:hAnsi="Times New Roman" w:cs="Times New Roman"/>
          <w:sz w:val="36"/>
          <w:szCs w:val="36"/>
          <w:rtl/>
        </w:rPr>
        <w:t xml:space="preserve">دواءٌ يُوضَعُ في الأنفِ ثم يُجذَبُ إلى داخلِه بالنَّفَسِ أو غيرِ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مُفسِّدٌ للصومِ عندَ الأئمةِ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وعلى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هذا: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تُخرَّجُ قطرةُ الأنفِ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الطبية،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فإذا قطَّرَها الصائمُ في أنفِهِ ووجَدَ طعمَها في حلْقِه فقد فسدَ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صومُه،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وبهذا يُفتِي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الأئمةُ: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الألبانيُّ،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وابنُ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بازٍ،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والعُثيمينُ،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والفَوزان.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خروجُ دَمِ الحيضِ والنِّفاسِ مِن المرأةِ أثناءَ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الصيام،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مُفسِّدٌ للصومِ باتفاقِ العلماء.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قَطْعُ نِيَةِ الصومِ بقصدِ الإفطارِ في جُزءٍ مِن نهارِ الصومِ حتى ولو 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يأكل،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قولُ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لِما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إِنَّمَا الأَعْمَالُ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بِالنِّيَّاتِ،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وَإِنَّمَا لِكُلِّ امْرِئٍ مَا نَوَى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دَلَّ على أنَّ مَن نَوَى إبطالَ ما هو فيهِ مِن عبادةٍ فلَه ما نَوَى.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lastRenderedPageBreak/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ابتلاعُ ما لا يُتغذَّى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كالتُّراب والحَصَى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والنَّوى،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مُفسِّدٌ للصومِ عندَ الأئمة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وعامَّةِ العلماء.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إتيانُ المرأةِ أو الرَّجلِ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الدُّبُر،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سواءٌ أنْزَلَ مَنيًّا أو 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يُنزِل،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مُفسِّدٌ للصومِ عندَ الأئمةِ الأربعة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وثبَتَ أنَّ النَّبيَّ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أَتَى امْرَأَةً فِي دُبُرِهَا فَقَدْ كَفَرَ بِمَا أُنْزِلَ عَلَى مُحَمَّدٍ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وثبتَ أنَّ أبا هُريرةَ ــ رضيَ اللهُ عنهُ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أَتَى أَدْبَارَ الرِّجَالِ وَالنِّسَاءِ فَقَدْ كَفَرَ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ابتلاعُ ما يَتبقَّى في الأسنانِ مِن لَحمٍ ونحوِه مع القُدْرةِ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إخراجِه،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مُفسِّدٌ للصومِ عندَ عامَّة الفقهاء.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الرِّدةُ عن الإسلامِ باتفاق العلماء.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الحُقْنَةُ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الشَّرْجيَّة،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وهِيَ: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ما يُحقَنُ مِن دواءٍ عن طريقِ فتحَةِ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الدُّبُر،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وهي مُفسِّدَةٌ للصومِ عندَ المذاهبِ الأربعةِ وعامَّةِ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فتحَةَ الدُّبُرِ مُتَّصِلةٌ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بالمُستقيم،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والمُستقيمُ مُتصِلٌ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بالأمعاء،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وتمتصُّ الأمعاءُ ما دخلَ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طريقها،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وعلى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هذا: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تتخرَّجُ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التحاميلُ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الطِّبيةُ التي تُدخَلُ عن طريقِ فتحَة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الدُّبُر،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فيَفسُدُ الصومُ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مُفسِداتِ الصومِ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غسيلُ الكُلَى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بطريقتيهِ،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وبهذا يُفتِي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العلماءُ: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ابنُ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بازٍ،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والفوزانُ،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والغُدَيَّانُ،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والمُفتي آلُ الشيخ.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أعوذُ باللهِ مِن الشيطانِ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الرَّجيم: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 يَا أَيُّهَا الَّذِينَ آمَنُوا كُتِبَ عَلَيْكُمُ الصِّيَامُ كَمَا كُتِبَ عَلَى الَّذِينَ مِنْ قَبْلِكُمْ لَعَلَّكُمْ تَتَّقُونَ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829FB" w:rsidRDefault="005829FB" w:rsidP="005829FB">
      <w:pPr>
        <w:tabs>
          <w:tab w:val="left" w:pos="4721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والحمدُ للهِ أوَّلًا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وآخِرًا،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وعلى كلِّ حال.</w:t>
      </w:r>
    </w:p>
    <w:p w:rsidR="005829FB" w:rsidRPr="005829FB" w:rsidRDefault="005829FB" w:rsidP="005829FB">
      <w:pPr>
        <w:ind w:left="0"/>
        <w:jc w:val="left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</w:pPr>
      <w:r w:rsidRPr="005829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5829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الثانية:</w:t>
      </w:r>
      <w:proofErr w:type="spellEnd"/>
      <w:r w:rsidRPr="005829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</w:t>
      </w:r>
    </w:p>
    <w:p w:rsidR="005829FB" w:rsidRDefault="005829FB" w:rsidP="005829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العَليِّ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الأعلى،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وصلَّى اللهُ وسلَّمَ على النبيِّ محمدٍ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المُرتضَى،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وعلى الآلِ والصحابةِ أئمَّةِ الهُدى.</w:t>
      </w:r>
    </w:p>
    <w:p w:rsidR="005829FB" w:rsidRDefault="005829FB" w:rsidP="005829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lastRenderedPageBreak/>
        <w:t xml:space="preserve">فإنَّ مِنَ الأشياءِ التي لا يَفْسُدُ بحصولِها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الصومُ: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خروجَ المَنِيِّ مِن الرَّجلِّ أو المرأةِ بسببِ احتلامٍ في نهارِ الصومِ حالَ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النوم،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باتفاقِ العلماء.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خروجُ القَيءِ مِن المعدةِ بغير تَسبُّبٍ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الصائمِ،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باتفاقِ العلماءِ.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إنزالُ المَنِيِّ بسبب التفكِيرِ المُجرَّدِ في الذِّهن بالجماعِ وأمورِ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الشهوة،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باتفاقُ العلماءِ.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خروجُ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المَذْيِ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بسببِ مسٍّ للمرأة أو تقبيلٍ أو تفكيرٍ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بشهوة،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وهوَ قولُ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عامَّةِ الفقهاء.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u w:val="single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التقطيرُ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الإحْلِيل،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والإحليلُ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ذَكَرُ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الرَّجل،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ومِثلُه: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رَحِمُ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المرأة،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فإذا وُضِعَ فيهما دواءٌ نهارَ الصومِ فإنَّ الصومَ لا يَفْسُد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 لا مَنفذَ بينَ الذَّكَرِ والرَّحِمِ وبينَ الجوفِ يُوصِلُ ما وُضِعَ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داخلها،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وعلى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هذا: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تتخرَّجُ جملةُ مِن الأشياءِ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المُعاصرةِ،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فلا يَفْسُدُ بسببها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الصومُ،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أمثلَتِها: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إدخالُ أُنبوبُ القسطرةِ عن طريقِ فتحَةِ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الذَّكَر،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إدخالُ مِنظارِ طِّبيٍّ عن طريقِ فتحةِ الذَّكَر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الرَّحِم،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إدخالُ مَحلولٍ لِغسلِ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المَثانةِ،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مادةٍ تُساعِدُ على وضوحِ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الأشعة،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عملِ لَولبٍ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الرَّحِم،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تنظيفِ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المِهبَل،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ذهبَ إلى أنَّها لا تُفَطِّر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الصائمَ: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العلامةُ ابنُ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بازٍ،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ومَجْمَعُ الفقهِ الإسلامي. 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الأكلُ والشُّربُ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نسيانًا،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فِعلُ أيّ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مُفطِّرٍ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نسيانًا،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لِقولِ النبيِّ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الصَّحيحِ: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نَسِيَ وَهُوَ صَائِمٌ فَأَكَلَ أَوْ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شَرِبَ،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فَلْيُتِمَّ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صَوْمَهُ،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فَإِنَّمَا أَطْعَمَهُ اللهُ وَسَقَاهُ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ما طارَ إلى حلْق الإنسانِ أو دخَلَ إلى جوفِه بغيرِ إرادةٍ مِنهُ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واختيار،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أمثلتِه: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الذُّبابُ والبَقُّ والغُبارُ والدَّقيقُ والدُّخَانُ.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وصولُ شيءٍ إلى حلْقِ الصائمِ مِن ماءِ المَضمضةِ والاستنشاقِ بغيرِ قصدٍ ولا مُبالغةٍ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المُتوضِئ،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وأمَّا إذا بالغَ حتى سَبَقهُ الماءُ إلى حلقِهِ فيَفْسُدُ صومَهُ عندَ المذاهبِ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لقولِ النَّبيِّ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الثابتِ: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وَبَالِغْ فِي الِاسْتِنْشَاقِ إِلَّا أَنْ تَكُونَ صَائِمًا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حيثُ دَلَّ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على: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تأثُّرِ الصومِ بالمُبالغَة.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lastRenderedPageBreak/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فِعلُ شيءٍ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المُفطِّراتِ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على وجْهِ الإكراهِ مِن قِبَلِ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الغيرِ،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سواء فَعَلهُ المُكْرَهُ بنفسِه أو فُعِلَ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قِبَلِ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غيرهِ،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قياسًا على الإكراهِ على الكُفرِ الواردِ في قولِ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مَنْ كَفَرَ بِاللَّهِ مِنْ بَعْدِ إِيمَانِهِ إِلَّا مَنْ أُكْرِهَ وَقَلْبُهُ مُطْمَئِنٌّ بِالْإِيمَانِ وَلَكِنْ مَنْ شَرَحَ بِالْكُفْرِ صَدْرًا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إذ دلَّتِ الآيةُ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على: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قولَ أو فِعلَ الكُفرِ عن رضًا مِن الفاعلِ يُفسِدُ إسلامَهُ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ويَنقضُه،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وفِعلُهُ له عن إكراهٍ لا يُفسِدُهُ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يَنقُضُه،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والإكراهُ على الإفطارِ أولَى بعدمِ الفساد.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تذَوُّقُ الطعامِ على طَرَفِ اللِّسانِ لِمعرفةِ حلاوتِهِ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مُلوحتِهِ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دُونَ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بلْعٍ،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مذهبُ الأئمةِ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إلا أنَّه يُكرَهُ عندَ عدمِ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الحاجةِ،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أنَّ ابنَ عباسٍ ــ رضي الله عنه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بَأْسَ أَنْ يَتَطَعَّمَ القِدْرَ أَوِ الشَّيْءَ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القُبْلَةُ والمَسُّ للمرأةِ إذا لم يُصَاحَب بإنزالِ مَنِيٍّ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مَذِيٍّ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عندَ عامَّة الفقهاء.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بقاءُ الجُنُبِ مِن جماعٍ أو احتلامٍ أو المرأةِ الحائضِ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والنُّفساءِ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طهُرَتا بالليلِ مِن غيرِ اغتسالٍ حتى يطلُعَ عليهم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الفجر،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وتنتهِي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صلاتُه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لِمَا صحَّ أنَّ النبيَّ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يُدْرِكُهُ الْفَجْرُ فِي رَمَضَانَ وَهُوَ جُنُبٌ مِنْ غَيْرِ حُلُمٍ فَيَغْتَسِلُ وَيَصُومُ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بلعُ الإنسانِ رِيقَ ولُعابَ نفسِه حتى ولو كَثُرَ ما دامَ في محلِّه وهو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الفَم،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باتفاقِ العلماء.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ابتلاعُ ما بينَ الأسنانِ مِن فضْلِ طعامٍ وغيرِه بدونِ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قصْدٍ،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قُدْرةٍ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دفعِه،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باتفاق العلماء.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شرطَ العِرقِ بسكينٍ لِيَخرجَ الدَّمُ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عند أكثر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ومِثلُه: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تحليلُ الدَّم.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الدَّمُ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والقيحُ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الخارِجَينِ مِن الأسنانِ واللِّثَّةِ إذا لم يَرجعا إلى داخلِ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الحلْق،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باتفاقِ العلماء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الاكتحالُ حتى ولو وجَدَ الصائمُ طَعْمَهُ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حلْقه،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عند أكثرُ الفقهاء.</w:t>
      </w:r>
    </w:p>
    <w:p w:rsidR="005829FB" w:rsidRDefault="005829FB" w:rsidP="005829FB">
      <w:pPr>
        <w:tabs>
          <w:tab w:val="left" w:pos="450"/>
          <w:tab w:val="right" w:pos="11790"/>
        </w:tabs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lastRenderedPageBreak/>
        <w:t xml:space="preserve">ومِن الأشياءِ التي لا يَفْسُدُ بحصولِها الصومُ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إنزالُ الرَّجلِ المَنِيِّ بتقبيلِ غيرِهِ لَه مِن غيرِ اختيارِهِ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ورِضاه،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باتفاقِ العلماء.</w:t>
      </w:r>
    </w:p>
    <w:p w:rsidR="005829FB" w:rsidRDefault="005829FB" w:rsidP="005829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هذ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وأسألُ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اللهَ: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يُجنِّبَنا 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يُسخِطُه،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ويُباعِدَ بينَنا وبينَ ما يُفسِدُ صيامَنا أو يُنقِصُ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أجْره،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اجعلنا مِمَّن يصومُ رمضانَ ويقومُهُ إيمانًا واحتسابًا فيُغفر له ما تقدَّمَ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ذنْبِه،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باعِد بينَنا وبينَ خطايانا كما باعدتَ بينَ المشرقِ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والمغرب،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وتُبِ علينا إنَّك إنَّكَ أنتَ التَّوابُ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الرحيم،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أعنَّا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ذِكرِكَ،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وشُكرِكَ،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وحُسْنِ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عبادتِك،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واجعلنا مِن الذَّاكِرينَ لكَ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0B70C3" w:rsidRPr="005829FB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5829FB" w:rsidSect="005829FB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55" w:rsidRDefault="00686455" w:rsidP="005829FB">
      <w:pPr>
        <w:spacing w:before="0" w:after="0"/>
      </w:pPr>
      <w:r>
        <w:separator/>
      </w:r>
    </w:p>
  </w:endnote>
  <w:endnote w:type="continuationSeparator" w:id="0">
    <w:p w:rsidR="00686455" w:rsidRDefault="00686455" w:rsidP="005829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36979249"/>
      <w:docPartObj>
        <w:docPartGallery w:val="Page Numbers (Bottom of Page)"/>
        <w:docPartUnique/>
      </w:docPartObj>
    </w:sdtPr>
    <w:sdtContent>
      <w:p w:rsidR="005829FB" w:rsidRDefault="005829FB">
        <w:pPr>
          <w:pStyle w:val="a7"/>
          <w:jc w:val="center"/>
        </w:pPr>
        <w:fldSimple w:instr=" PAGE   \* MERGEFORMAT ">
          <w:r w:rsidRPr="005829F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5829FB" w:rsidRDefault="005829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55" w:rsidRDefault="00686455" w:rsidP="005829FB">
      <w:pPr>
        <w:spacing w:before="0" w:after="0"/>
      </w:pPr>
      <w:r>
        <w:separator/>
      </w:r>
    </w:p>
  </w:footnote>
  <w:footnote w:type="continuationSeparator" w:id="0">
    <w:p w:rsidR="00686455" w:rsidRDefault="00686455" w:rsidP="005829F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FB"/>
    <w:rsid w:val="000B70C3"/>
    <w:rsid w:val="00370195"/>
    <w:rsid w:val="005829FB"/>
    <w:rsid w:val="005F7BB1"/>
    <w:rsid w:val="00686455"/>
    <w:rsid w:val="00726A6D"/>
    <w:rsid w:val="008D4102"/>
    <w:rsid w:val="00A271F3"/>
    <w:rsid w:val="00B865E9"/>
    <w:rsid w:val="00C26AEC"/>
    <w:rsid w:val="00E3733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FB"/>
    <w:pPr>
      <w:bidi/>
      <w:spacing w:before="100" w:beforeAutospacing="1" w:after="100" w:afterAutospacing="1" w:line="240" w:lineRule="auto"/>
      <w:ind w:left="340"/>
      <w:jc w:val="both"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widowControl w:val="0"/>
      <w:autoSpaceDE w:val="0"/>
      <w:autoSpaceDN w:val="0"/>
      <w:adjustRightInd w:val="0"/>
      <w:spacing w:before="240" w:beforeAutospacing="0" w:after="60" w:afterAutospacing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5829FB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6"/>
    <w:uiPriority w:val="99"/>
    <w:semiHidden/>
    <w:rsid w:val="005829FB"/>
    <w:rPr>
      <w:rFonts w:cstheme="minorBidi"/>
    </w:rPr>
  </w:style>
  <w:style w:type="paragraph" w:styleId="a7">
    <w:name w:val="footer"/>
    <w:basedOn w:val="a"/>
    <w:link w:val="Char0"/>
    <w:uiPriority w:val="99"/>
    <w:unhideWhenUsed/>
    <w:rsid w:val="005829FB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7"/>
    <w:uiPriority w:val="99"/>
    <w:rsid w:val="005829FB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2024-03-14T10:36:00Z</dcterms:created>
  <dcterms:modified xsi:type="dcterms:W3CDTF">2024-03-14T10:37:00Z</dcterms:modified>
</cp:coreProperties>
</file>