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E3" w:rsidRPr="001A4BA1" w:rsidRDefault="009A09E3" w:rsidP="001A4BA1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1A4BA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تبصير المُسلِم والمُسلِمة بحُكم توكيل الكافر الكتابي بذبح لأضحية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الحمد لله على ما له مِن الأسماء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الحُسنى،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والصِّفات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العُلى،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والنِّعمِ الظاهرة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والباطنة،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وأُصلِّي وأُسلِّم على نبيِّنا محمد وعلى آله وأصحابه وأتباعه.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وبعد،</w:t>
      </w:r>
      <w:proofErr w:type="spellEnd"/>
      <w:r w:rsidRPr="001A4BA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أيُّها المسلم ــ زادك الله علمًا بدينه ــ: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فإنَّ الأفضل أنْ يَذبح المُضحِّي أضحيتَه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بيده،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لأنَّه فِعل النَّبي صلى الله عليه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وقُرْبَةٌ إلى الله ــ جلّ وعزَّ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ومُباشرة القُرَب أولِى، 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1A4BA1">
        <w:rPr>
          <w:rFonts w:ascii="Times New Roman" w:hAnsi="Times New Roman" w:cs="Times New Roman"/>
          <w:sz w:val="36"/>
          <w:szCs w:val="36"/>
          <w:rtl/>
        </w:rPr>
        <w:t>حيث أخرج البخاري (5558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ومسلم (1966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عن </w:t>
      </w:r>
      <w:r w:rsidRPr="001A4BA1">
        <w:rPr>
          <w:rFonts w:ascii="Times New Roman" w:hAnsi="Times New Roman" w:cs="Times New Roman"/>
          <w:sz w:val="36"/>
          <w:szCs w:val="36"/>
          <w:rtl/>
        </w:rPr>
        <w:t>أنس بن مالك ــ رضي الله عنه ــ أنّه قال: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ضَحَّى النَّبِيُّ صَلَّى اللهُ عَلَيْهِ وَسَلَّمَ بِكَبْشَيْنِ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أَمْلَحَيْنِ،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فَرَأَيْتُهُ وَاضِعًا قَدَمَهُ عَلَى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صِفَاحِهِمَا،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يُسَمِّي،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وَيُكَبِّرُ،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فَذَبَحَهُمَا بِيَدِهِ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4BA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1A4BA1">
        <w:rPr>
          <w:rFonts w:ascii="Times New Roman" w:hAnsi="Times New Roman" w:cs="Times New Roman"/>
          <w:sz w:val="36"/>
          <w:szCs w:val="36"/>
          <w:rtl/>
        </w:rPr>
        <w:t>وأخرج مسلم (1976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عن عائشة ــ رضي الله عنها ــ: 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رَسُولَ اللهِ صَلَّى اللهُ عَلَيْهِ وَسَلَّمَ أَمَرَ بِكَبْشٍ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أَقْرَنَ،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يَطَأُ فِي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سَوَادٍ،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وَيَبْرُكُ فِي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سَوَادٍ،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وَيَنْظُرُ فِي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سَوَادٍ،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فَأُتِيَ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لِيُضَحِّيَ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لَهَا: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«يَا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عَائِشَةُ،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هَلُمِّي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الْمُدْيَةَ»،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«اشْحَذِيهَا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بِحَجَرٍ»،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فَفَعَلَتْ: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أَخَذَهَا،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وَأَخَذَ الْكَبْشَ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فَأَضْجَعَهُ،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ذَبَحَهُ،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«بِاسْمِ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اللهُمَّ تَقَبَّلْ مِنْ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وَآلِ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وَمِنْ أُمَّةِ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مُحَمَّدٍ،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ضَحَّى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بِهِ»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4BA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1A4BA1">
        <w:rPr>
          <w:rFonts w:ascii="Times New Roman" w:hAnsi="Times New Roman" w:cs="Times New Roman"/>
          <w:sz w:val="36"/>
          <w:szCs w:val="36"/>
          <w:rtl/>
        </w:rPr>
        <w:t>وقال الإمام البخاري ــ رحمه الله ــ في "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(عند حديث رقم:5559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جازمًا: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وَأَمَرَ أَبُو مُوسَى بَنَاتِهِ أَنْ يُضَحِّينَ بِأَيْدِيهِنَّ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4BA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وذَكر الحافظ ابن حَجَر العسقلاني الشافعي ــ رحمه الله ــ في كتابه "فتح الباري شرح صحيح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البخاري"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(10/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21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مَن وصَله.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ثُمَّ قال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عقبه: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sz w:val="36"/>
          <w:szCs w:val="36"/>
          <w:rtl/>
        </w:rPr>
        <w:t>وسنده صحيح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1A4BA1">
        <w:rPr>
          <w:rFonts w:ascii="Times New Roman" w:hAnsi="Times New Roman" w:cs="Times New Roman"/>
          <w:sz w:val="36"/>
          <w:szCs w:val="36"/>
          <w:rtl/>
        </w:rPr>
        <w:t>وثبت عن عبد الله بن عمر بن الخطاب ــ رضي الله عنهما ــ أنَّه: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((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يَنْحَرُ هَدْيَهُ بِيَدِهِ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4BA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أخرجه مالك في كتابه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"الموطأ"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(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145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أبو زكريا النَّووي الشافعي ــ رحمه الله ــ في شرحه على "صحيح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116 ــ عند حديث رقم:1962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sz w:val="36"/>
          <w:szCs w:val="36"/>
          <w:rtl/>
        </w:rPr>
        <w:t>قوله: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وَانْكَفَأَ رَسُول اللَّه صَلَّى اللَّه عَلَيْهِ وَسَلَّمَ إِلَى كَبْشَيْنِ فَذَبَحَهُمَا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4BA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فيه: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إجزاء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الذَّكر في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الأضحية،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وأنَّ الأفضل أنْ يَذبحها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بنفسه،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وهما مُجْمَعٌ عليهما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ابن رُشد المالكي ــ رحمه الله ــ في كتابه "بداية المجتهد ونهاية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المقتصد"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449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الذابح،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فإنَّ العلماء استَحبُّوا أنْ يكون المُضحِّي هو الذي يَلِي ذبح أضحيته بيده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فإنْ وكَّلَ المُضحِّي في ذبْح أو نَحْر أضحيته مُسلمًا جاز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بالنَّص،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واتفاق العلماء.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>حيث أخرج مسلم (1218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عن جابر بن عبد الله ــ رضي الله عنهما ــ أنَّ النَّبي صلى الله عليه وسلم: 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انْصَرَفَ إِلَى الْمَنْحَرِ فَنَحَرَ ثَلَاثًا وَسِتِّينَ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بِيَدِهِ،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أَعْطَى عَلِيًّا فَنَحَرَ مَا غَبَرَ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4BA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الحافظ ابن عبد البَرِّ المالكي ــ رحمه الله ــ في كتابه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"التمهيد"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107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عقب هذا الحديث: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وفيه مِن الفِقه: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أنْ يَتولى الرَّجل نَحْر هَديه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بيده،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وذلك عند أهل العلم مُستحب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مُستحسَن،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لِفعل رسول الله صلى الله عليه وسلم ذلك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بيده،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ولأنَّها قُربة إلى الله ــ عزَّ وجلَّ ــ فمباشرتها أولَى.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وجائز أنْ يَنحَر الهَدى والضحايا غير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صاحبها،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ألَا تَرى أنَّ علي بن أبي طالب ــ رضي الله عنه ــ نَحَر بعض هَدى رسول الله صلى الله عليه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وهو أمْر لا خِلاف بين العلماء في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إجازته،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فأغْنَى عن الكلام فيه.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وأمَّا إذا كان صاحِب الهَدي أو الضَّحية قد أمَر بِنَحْر هَديه أو ذبْح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أضحيته،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فلا خِلاف بين الفقهاء في إجازة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كما لو وكَّل غيره بشراء هَديه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فاشتراه،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جاز بإجماع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ابن رُشد المالكي ــ رحمه الله ــ في كتابه "بداية المجتهد ونهاية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المقتصد"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449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الأضحية: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واتفقوا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على: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أنَّه يجوز أنْ يُوكِّل غيره على الذبح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أبو زكريا النَّووي الشافعي ــ رحمه الله ــ في كتابه "المجموع شرح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المُهذَّب"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382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أجمعوا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على: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أنَّه يجوز أنْ يَستنيب في ذبح أضحيته مسلمًا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ــــ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وبنحوه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أيضًا قال:</w:t>
      </w:r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في شرحه على "صحيح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مسلم"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(13/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129 ــ عند حديث رقم:1966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ونَقل الإجماع على ذلك أيضًا: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علاء الدِّين ابن العطَّار الشافعي في كتابه "العُدة في شرح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العمدة"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(3/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1638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وابن حَجَر العسقلاني الشافعي في كتابه "فتح الباري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شرح"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(10/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21 ــ عند حديث رقم:5558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والمُناوي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الشافعي في كتابه "فيض القدير شرح الجامع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الصغير"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(5/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214 ــ عند حديث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رقم: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7025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وغيرهم.</w:t>
      </w:r>
    </w:p>
    <w:p w:rsidR="009A09E3" w:rsidRPr="001A4BA1" w:rsidRDefault="009A09E3" w:rsidP="00027487">
      <w:pPr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تنبيه</w:t>
      </w: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الفقيه أبو زكريا النَّووي الشافعي ــ رحمه الله ــ في شرحه على "صحيح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129 ــ عند حديث رقم:1966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أصحابنا: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والأفضل لِمَن وكَّل أنْ يُوكِّل مسلمًا فقيهًا بباب الذبائح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والضحايا،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لأنَّه أعرَف بشروطها وسُننها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وإنْ وكَّلَ المُضحِّي في ذبْح أو نَحْر أضحيته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امرأة،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أو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مُراهقًا،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جاز،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وهو مذهب الأئمة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الأربعة،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بل نُقِل على ذلك الإجماع.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حيث قال الفقيه عون الدِّين ابن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هُبيرة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"الإفصاح"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335 ــ قسم اختلاف العلماء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واتفقوا على أَنَّ ذبْح العَبْد مِن المسلمين في الجواز كالحرِّ وامرأة مِن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والمُراهق في ذلك كالرَّجل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ويَعني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بقوله: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"واتفقوا"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الأئمة الأربعة.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الحافظ ابن المُنذر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النيسابوري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"الإشراف على مذاهب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العلماء"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432-333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أجمع عَوام أهل العلم الذين حفظنا عنهم على:</w:t>
      </w:r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إباحة أكل ذبيحة الصَّبى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والمرأة،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إذا أطاقا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الذَّبح،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وأتيا على ما يجب أنْ يُؤتى عليه.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ومِمَّن حفظنا عنه ذلك: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ابن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عباس،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والشَّعبي،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وعطاء،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والحسن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البصري،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ومُجاهد،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والنَّخعي،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ومالك،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والثوري،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والليث بن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سعد،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والحسن بن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صالح،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والشافعي،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وأحمد،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وإسحاق،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وأبو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ثور،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والنُّعمان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وأصحابه.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وقال جابر بن عبد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الله: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في ذبيحة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الصبي: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تؤكل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4BA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وكذلك قال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طاوس،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والقاسم بن محمد.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ومِن الحُجَّة على إباحة أكل ذبيحة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المرأة،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مع ما ذكرناه مِن إجماع مَن حفظنا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قوله،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في حديث ابن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عمر: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إنَّ امرأة كانت تَرعى على آل كعب بن مالك فخافت على شاة أنْ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تموت،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فأخذت حَجَرًا فذبَحت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بَه،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وأمرَهم رسول الله صلى الله عليه وسلم بأكلها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lastRenderedPageBreak/>
        <w:t>قلت: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وحديث المرأة التي ذكَّت الشاة وذبحتها: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قد أخرجه الإمام البخاري في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صحيحه"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(5502 و 5504 و 5505 و 2304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عن ابن كعب بن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مالك،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عن أبيه ــ رضي الله عنه ــ: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 امْرَأَةً ذَبَحَتْ شَاةً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بِحَجَرٍ،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فَسُئِلَ النَّبِيُّ صَلَّى اللهُ عَلَيْهِ وَسَلَّمَ عَنْ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ذَلِكَ"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فَأَمَرَ بِأَكْلِهَا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4BA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وبوَّب عليه الإمام البخاري ــ رحمه الله ــ: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«باب: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ذبيحة المرأة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والأَمَة»</w:t>
      </w:r>
      <w:r w:rsidRPr="001A4BA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بدر الدِّين العَيني الحنفي ــ رحمه الله ــ في كتابه "عُمدة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القاري"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(21/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116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عقبه: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kern w:val="28"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أي: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هذا باب في بيان جواز ذبيحة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المرأة،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وذبيحة الأَمَة.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kern w:val="28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وكأنه أشار بهذه الترجمة إلى رَد مَن منع هذا.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kern w:val="28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وقد نَقل محمد بن عبد الحَكم عن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مالك: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كراهته،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وفي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"المُدونة":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جوازه.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وهو قول جمهور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الفقهاء،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وذلك إذا أحسنت الذبح»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لأنَّ النَّبي صلى الله عليه وسلم قد أقرَّ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ذكاة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هذه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المرأة،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بدليل أمرِه صلى الله عليه وسلم بأكل ما ذبحته.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وإنْ وكَّلَ المُضحِّي في ذبْح أو نَحْر أضحيته كافرًا كِتابيًّا ــ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وهو: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اليهودي والنّصراني ــ جاز عند عامَّة أهل العلم مع الكراهة.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حيث قال الفقيه أبو زكريا النَّووي الشافعي ــ رحمه الله ــ في شرح على "صحيح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129 ــ عند حديث رقم:1966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وإنْ استناب كتابيًّا كُرِه كراهية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تَنزيه،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وأجْزَأه،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ووقعَت التَّضحية عن المُوكِّل.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هذا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مذهبنا،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ومذهب العلماء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كافة،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إلا مالكًا فى إحدى الروايتين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فإنَّه لم يُجوِّزها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أبو العباس القرطبي المالكي ــ رحمه الله ــ في كتابه "المُفهِم لِمَا أشكل مِن تلخيص كتاب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مسلم"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362 ــ عند حديث رقم:1960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واختُلِف في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الذِّمِّي،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فأجاز ذلك عطاء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ابتداءً،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وهو أحد قولي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مالك،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وقال في قولٍ له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آخَر: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يُجزئه،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وعليه إعادة الأضحية.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وكَرِه ذلك جماعة مِن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السَّلف،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وعامَّة أئمَّة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الأمصار،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إلا أنَّهم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قالوا: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يُجزئه إذا فَعَل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وبنحوه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أيضًا جاء في كتاب: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"إكمال المَعْلم بفوائد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مسلم"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(6/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413 ــ عند حديث رقم:1967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للقاضي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عياض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المالكي ــ رحمه الله ــ.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عون الدِّين ابن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هُبيرة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"الإفصاح"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335 ــ قسم اختلاف العلماء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sz w:val="36"/>
          <w:szCs w:val="36"/>
          <w:rtl/>
        </w:rPr>
        <w:t>واختلفوا هل يجوز أنْ يذبحها كِتابي؟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فقال أبو حنيفة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والشافعي: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يجوز مع الكراهة.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مالك: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لا يجوز أَنْ يذبحها إلا مسلم.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وعن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أحمد: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روايتان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كالمذهبين،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أشهرهما الجواز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5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جمال الدِّين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الصردفي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 ــ رحمه الله ــ في كتابه "المعاني البديعة في معرفة اختلاف أهل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الشريعة"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408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عند الشافعي وأحمد وأكثر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العلماء: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يُكره أنْ يَستنيب في ذبْح أضحيته أو هَديه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يهوديًا،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ويُجزئه.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وعند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مالك: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يجوز،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فإنْ استناب مَن ذَكرناه وذبحها لم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يُجزئه،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وكانت شاة لحم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lastRenderedPageBreak/>
        <w:t xml:space="preserve">ومِمَّن نُقل عنه الجواز مِن التابعين: 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إبراهيم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النَّخعي،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وعطاء بن أبي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رباح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ــ في رواية صحيحة عنهما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والزُّهري.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6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الإمام مُوفَّق الدِّين ابن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قُدامة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"المُغني"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389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وجُملته: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أنَّه يُستحب أنْ لا يذبح الأضحية إلا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مسلم،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لأنَّها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قُربة،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فلا يَليها غير أهل القُربة.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>وإنْ استناب ذِمِّيًّا في ذبحها جاز مع الكراهة.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وهذا قول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الشافعي،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وأبي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ثور،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المُنذر،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وحُكي عن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أحمد: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لا يجوز أنْ يذبحها إلا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مسلم،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وهذا قول مالك.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ومِمَّن كَرِه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ذلك: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عليٌّ،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عباس،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وجابر ــ رضي الله عنهم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وبِه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قال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الحسن،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وابن سِيرين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ثُمَّ قال ــ رحمه الله ــ في ترجيح الجواز</w:t>
      </w:r>
      <w:r w:rsidRPr="001A4BA1">
        <w:rPr>
          <w:rFonts w:ascii="Times New Roman" w:hAnsi="Times New Roman" w:cs="Times New Roman"/>
          <w:color w:val="002060"/>
          <w:sz w:val="36"/>
          <w:szCs w:val="36"/>
          <w:rtl/>
        </w:rPr>
        <w:t>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ولنا: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أنَّ مَن جاز له ذبْح غير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الأضحية،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جاز له ذبْح الأضحية كالمسلم.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ويجوز أنْ يَتولى الكافر ما كان قُرْبة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للمسلم،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كبناء المساجد والقناطر.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والمُستحب أنْ يَذبحها المسلم لِيَخرُج مِن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الخلاف،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وإنْ ذبَحها بيده كان أفضل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7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ابن حزم الظاهري ــ رحمه الله ــ في كتابه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"المُحلَّى"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44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–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مسألة رقم:983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sz w:val="36"/>
          <w:szCs w:val="36"/>
          <w:rtl/>
        </w:rPr>
        <w:t>ونَستحِبُّ للمُضحِّي رجلًا كان أو امرأة أنْ يَذبح أضحيته أو يَنحرها بيده.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فإنْ ذبحها أو نَحَرَها له بأمْره مسلم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غيره،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كتابِيٌّ،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أجزأه،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ولا حرَج في ذلك.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وقولنا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هو قول أبي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حنيفة،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والشافعي،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وأبي سليمان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8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الفقيه بدر الدِّين العَيني الحنفي ــ رحمه الله ــ في كتابه "البَناية شرح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الهداية"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(12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59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بعد ذِكر الجواز عند الحنفية: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وبِه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قال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الشافعي،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وأحمد،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وأبو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ثَور،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المُنذر،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وقال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مالك: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لا يجوز أنْ يذبحها إلا مسلم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ومِمَّن رُويَت عنه الكراهة مِن التابعين: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سعيد بن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جُبير،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والحسن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البصري،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وعطاء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الخرَساني،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ومجاهد بن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جَبر،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وعطاء بن ابي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رباح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رواية،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وعامر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الشَّعبي،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وطاوس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بن كيسان.</w:t>
      </w:r>
    </w:p>
    <w:p w:rsidR="009A09E3" w:rsidRPr="00027487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2748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وجاء عن جابر بن عبد الله الأنصاري ــ رضي الله عنهما ــ: 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كَرِهَ أَنْ يَذْبَحَ النُّسُكَ إِلَّا مُسْلِمٌ </w:t>
      </w:r>
      <w:proofErr w:type="spellStart"/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A4BA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أخرجه أحمد ابن منيع كما في "المطالب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العالية"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(2292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 "إتحاف الخِيَرة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المَهَرة"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(4759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بإسناده حسن.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color w:val="806000" w:themeColor="accent4" w:themeShade="8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وجاء نحوه عن: 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علي بن أبي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طالب،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وابن عباس ــ رضي الله عنهم ــ.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وضعَّفهما ابن حَزم الظاهري ــ رحمه الله ــ في كتابه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"المُحلَّى"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(6/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45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–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مسألة رقم:983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ثُمَّ قال بعد ذلك: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إلا أنَّه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عن: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الحسن،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وإبراهيم،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والشَّعبي،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وسعيد بن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جُبير،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صحيح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ويَدُلُّ على أنَّ الكافر الكتابي مِن أهل </w:t>
      </w:r>
      <w:proofErr w:type="spellStart"/>
      <w:r w:rsidRPr="001A4BA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الذَّكاة</w:t>
      </w:r>
      <w:proofErr w:type="spellEnd"/>
      <w:r w:rsidRPr="001A4BA1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كالمسلم: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قول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االله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ــ جلَّ وعلا ــ في سورة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"المائدة":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وَطَعَامُ الَّذِينَ أُوتُوا الْكِتَابَ حِلٌّ لَكُمْ </w:t>
      </w:r>
      <w:proofErr w:type="spellStart"/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A4BA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السعدي ــ رحمه الله ــ في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"تفسيره"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221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عند هذه الآية: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ذبائح اليهود والنَّصارى حلالٌ لكم يا معشر المسلمين دون باقي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الكفار،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فإنَّ ذبائحَهم لا تَحِلُّ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للمسلمين،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وذلك لأنَّ أهل الكتاب يَنتسبون إلى الأنبياء والكتب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rtl/>
        </w:rPr>
        <w:t>تنبيهان</w:t>
      </w: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التنبيه الأوَّل: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عن ذبح الكافر الكتابي بالصعق </w:t>
      </w:r>
      <w:proofErr w:type="spellStart"/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بالكهرباء،</w:t>
      </w:r>
      <w:proofErr w:type="spellEnd"/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ونحوه مِمَّا لا تذكية </w:t>
      </w:r>
      <w:proofErr w:type="spellStart"/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وإنهار</w:t>
      </w:r>
      <w:proofErr w:type="spellEnd"/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دَمٍ </w:t>
      </w:r>
      <w:proofErr w:type="spellStart"/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فيه،</w:t>
      </w:r>
      <w:proofErr w:type="spellEnd"/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وأنَّه لا </w:t>
      </w:r>
      <w:proofErr w:type="spellStart"/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يَحِل،</w:t>
      </w:r>
      <w:proofErr w:type="spellEnd"/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ولا يؤكل ما ذبح بذلك.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قال الفقيه ابن جاسر الحنبلي ــ رحمه الله ــ في كتابه "مُفيد الأنام ونور الظلام في تحرير الأحكام لحج بيت الله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الحرام"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(ص:915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ومُراد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الأصحاب: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جواز توكيل الذِّمي الكتابي في ذبيحة هَدي المسلم أو أضحيته إذا كان الكتابي يَذبح الأضحية أو الهَدي أو يَنحرهما في موضعه الشرعي بشروطه المُعتبَرة.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أمَّا إنْ كان يَذبحها بضربِ المسامير أو الفؤوس في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الرأس،</w:t>
      </w:r>
      <w:proofErr w:type="spellEnd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ونحوه،</w:t>
      </w:r>
      <w:proofErr w:type="spellEnd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أو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بالكهرباء،</w:t>
      </w:r>
      <w:proofErr w:type="spellEnd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كما عليه عمل بعض النصارى في هذا الزَّمن: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فإنَّه لا يَصحُّ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توكيله،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ولا تَحِلُّ ذبيحته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بذلك،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لأنَّ ذبْحَه للبهيمة على هذه الصِّفة لا يُسمَّى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ذكاة،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ولا تَحِلُّ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بذلك،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بل حُكمها حُكم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المَيتَة،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فهي حرام كما لو فَعَل ذلك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مسلم،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وأولى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التنبيه الثاني: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عن إباحة ذبيحة الصَّبى والمرأة مِن أهل الكتاب إذا أطاقا </w:t>
      </w:r>
      <w:proofErr w:type="spellStart"/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الذبح،</w:t>
      </w:r>
      <w:proofErr w:type="spellEnd"/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وعقلاه،</w:t>
      </w:r>
      <w:proofErr w:type="spellEnd"/>
      <w:r w:rsidRPr="001A4BA1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وذكَّيا كما يَجب.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قال الحافظ ابن المُنذر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النيسابوري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"الإشراف على مذاهب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العلماء"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445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أجمَع كل مَن نحفظ قوله مِن أهل العلم على: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إباحة ذبيحة الصَّبى والمرأة مِن أهل الكتاب إذا أطاقا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الذبح،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وعقلاه،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وذكَّيا كما يَجب.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فمِمَّن حفظنا ذلك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عنه: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الشافعي،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والثوري،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وأحمد،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وإسحاق،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ُّ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وأصحابه،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وبِه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نقول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الإما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موفَّق الدِّين ابن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قدامة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"المغني"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311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وجُملة ذلك: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sz w:val="36"/>
          <w:szCs w:val="36"/>
          <w:rtl/>
        </w:rPr>
        <w:t xml:space="preserve">أنَّ كل مَن أمكنه الذَّبح من المسلمين وأهل الكتاب إذا ذبح حلَّ أكل ذبيحته رجلًا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كان،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امرأة،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بالغًا،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صبيًّا،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حُرًّا كان أو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عبدًا،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لا نعلم في هذا خلافًا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وإنْ وكَّلَ المُضحِّي في ذبْح أو نَحْر أضحيته  كافرًا غير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كتابي،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كالكافر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الوثني،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والمجوسي،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والبُوذي،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والهُندوسي،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والسِّيخي،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والمُلحِد،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والَّلادِيني،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والمُرتد،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وأشباهم،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فلا يَحِلُّ أكل ما ذَبحه أو </w:t>
      </w:r>
      <w:proofErr w:type="spellStart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نَحرَه،</w:t>
      </w:r>
      <w:proofErr w:type="spellEnd"/>
      <w:r w:rsidRPr="001A4BA1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وقد نُقِل اتفاق أهل العلم على ذلك.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حيث قال الحافظ ابن عبد البَر المالكي ــ رحمه الله ــ في كتابه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"الاستذكار"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(15/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217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وأجمعوا: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أنَّ المَجوسي والوثنِي لو سَمَّى الله لم تُؤكل ذبيحته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الإمام موفَّق الدِّين ابن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قدامة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"المُغني"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296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 xml:space="preserve">أجمع أهل العلم </w:t>
      </w:r>
      <w:proofErr w:type="spellStart"/>
      <w:r w:rsidRPr="001A4BA1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على: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تحريم صيد المجوسي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وذبيحته،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إلا ما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ذكَاة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له كالسَّمك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والجراد،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فإنَّهم أجمعوا على إباحته»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</w:t>
      </w:r>
      <w:r w:rsidR="00027487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 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298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sz w:val="36"/>
          <w:szCs w:val="36"/>
          <w:rtl/>
        </w:rPr>
        <w:t xml:space="preserve">وحُكم سائر الكفار مِن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عَبدة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الأوثان،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والزنادقة،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وغيرهم،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حُكم المجوس في تحريم ذبائحهم وصيدهم إلا الحيتان والجراد وسائر ما تُباح </w:t>
      </w:r>
      <w:proofErr w:type="spellStart"/>
      <w:r w:rsidRPr="001A4BA1">
        <w:rPr>
          <w:rFonts w:ascii="Times New Roman" w:hAnsi="Times New Roman" w:cs="Times New Roman"/>
          <w:sz w:val="36"/>
          <w:szCs w:val="36"/>
          <w:rtl/>
        </w:rPr>
        <w:t>ميتته،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فإنَّ ما صادوه مُباح لأنَّه لا يزيد بذلك عن موته بغير سبب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3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وقال الإمام ابن تيمية ــ رحمه الله ــ كما في "مجموع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(21/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103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تحريم ذبائح المجوس: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</w:t>
      </w:r>
      <w:proofErr w:type="spellStart"/>
      <w:r w:rsidRPr="001A4BA1">
        <w:rPr>
          <w:rFonts w:ascii="Times New Roman" w:hAnsi="Times New Roman" w:cs="Times New Roman"/>
          <w:b/>
          <w:bCs/>
          <w:sz w:val="36"/>
          <w:szCs w:val="36"/>
          <w:rtl/>
        </w:rPr>
        <w:t>قيل:</w:t>
      </w:r>
      <w:proofErr w:type="spellEnd"/>
      <w:r w:rsidRPr="001A4BA1">
        <w:rPr>
          <w:rFonts w:ascii="Times New Roman" w:hAnsi="Times New Roman" w:cs="Times New Roman"/>
          <w:sz w:val="36"/>
          <w:szCs w:val="36"/>
          <w:rtl/>
        </w:rPr>
        <w:t xml:space="preserve"> إنَّ ذلك مُجمَع عليه بين الصحابة</w:t>
      </w: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1A4BA1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وقال الإمام ابن قيِّم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>الجوزية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 ــ رحمه الله ــ في كتابه "أحكام أهل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>الذِّمة"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>(1/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 96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>)،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 عن المجوس: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 xml:space="preserve">وأمَّا تحريم </w:t>
      </w:r>
      <w:proofErr w:type="spellStart"/>
      <w:r w:rsidRPr="001A4BA1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ذبائحهم،</w:t>
      </w:r>
      <w:proofErr w:type="spellEnd"/>
      <w:r w:rsidRPr="001A4BA1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 xml:space="preserve"> </w:t>
      </w:r>
      <w:proofErr w:type="spellStart"/>
      <w:r w:rsidRPr="001A4BA1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ومُناكحتهم</w:t>
      </w:r>
      <w:proofErr w:type="spellEnd"/>
      <w:r w:rsidRPr="001A4BA1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فاتفاق مِن الصحابة ــ رضي الله عنهم ــ.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ولِهذا أنكر الإمام أحمد وغيره على أبي ثور طردَه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القياس،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وإفتاءَه بحِل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ذبائحهم،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وجواز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مناكحتهم،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ودعا عليه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أحمد،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حيث أقدم على مُخالفة أصحاب رسول الله صلى الله عليه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وسلم،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والصحابة كانوا أفقه وأعلم وأسدَّ قياسًا ورأيًا»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5 ــ</w:t>
      </w:r>
      <w:r w:rsidRPr="001A4BA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1A4BA1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وقال الفقيه محمد بن الحسن التميمي الجوهري ــ رحمه الله ــ في كتابه "نوادر الفقهاء 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>(ص:</w:t>
      </w:r>
      <w:proofErr w:type="spellEnd"/>
      <w:r w:rsidRPr="001A4BA1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 76 ــ رقم:61</w:t>
      </w:r>
      <w:proofErr w:type="spellStart"/>
      <w:r w:rsidRPr="001A4BA1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>):</w:t>
      </w:r>
      <w:proofErr w:type="spellEnd"/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1A4BA1">
        <w:rPr>
          <w:rFonts w:ascii="Times New Roman" w:hAnsi="Times New Roman" w:cs="Times New Roman"/>
          <w:b/>
          <w:bCs/>
          <w:kern w:val="28"/>
          <w:sz w:val="36"/>
          <w:szCs w:val="36"/>
          <w:rtl/>
        </w:rPr>
        <w:t>وأجمعوا: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أنَّ ذبيحة المُرتدين حرام على </w:t>
      </w:r>
      <w:proofErr w:type="spellStart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>المسلم،</w:t>
      </w:r>
      <w:proofErr w:type="spellEnd"/>
      <w:r w:rsidRPr="001A4BA1">
        <w:rPr>
          <w:rFonts w:ascii="Times New Roman" w:hAnsi="Times New Roman" w:cs="Times New Roman"/>
          <w:kern w:val="28"/>
          <w:sz w:val="36"/>
          <w:szCs w:val="36"/>
          <w:rtl/>
        </w:rPr>
        <w:t xml:space="preserve"> إلا الأوزاعي فإنَّه أحلها»</w:t>
      </w:r>
      <w:r w:rsidRPr="001A4BA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</w:rPr>
      </w:pP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وكتبه: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1A4BA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عبد القادر بن محمد بن عبد الرحمن </w:t>
      </w:r>
      <w:proofErr w:type="spellStart"/>
      <w:r w:rsidRPr="001A4BA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الجنيد</w:t>
      </w:r>
      <w:proofErr w:type="spellEnd"/>
      <w:r w:rsidRPr="001A4BA1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.</w:t>
      </w:r>
    </w:p>
    <w:p w:rsidR="009A09E3" w:rsidRPr="001A4BA1" w:rsidRDefault="009A09E3" w:rsidP="001A4BA1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</w:p>
    <w:p w:rsidR="000B70C3" w:rsidRPr="001A4BA1" w:rsidRDefault="000B70C3" w:rsidP="001A4BA1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1A4BA1" w:rsidSect="001A4BA1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B5" w:rsidRDefault="006E43B5" w:rsidP="001A4BA1">
      <w:pPr>
        <w:spacing w:before="0" w:after="0"/>
      </w:pPr>
      <w:r>
        <w:separator/>
      </w:r>
    </w:p>
  </w:endnote>
  <w:endnote w:type="continuationSeparator" w:id="0">
    <w:p w:rsidR="006E43B5" w:rsidRDefault="006E43B5" w:rsidP="001A4BA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1009127"/>
      <w:docPartObj>
        <w:docPartGallery w:val="Page Numbers (Bottom of Page)"/>
        <w:docPartUnique/>
      </w:docPartObj>
    </w:sdtPr>
    <w:sdtContent>
      <w:p w:rsidR="001A4BA1" w:rsidRDefault="00FC7453">
        <w:pPr>
          <w:pStyle w:val="a4"/>
          <w:jc w:val="center"/>
        </w:pPr>
        <w:fldSimple w:instr=" PAGE   \* MERGEFORMAT ">
          <w:r w:rsidR="00027487" w:rsidRPr="00027487">
            <w:rPr>
              <w:rFonts w:cs="Calibri"/>
              <w:noProof/>
              <w:rtl/>
              <w:lang w:val="ar-SA"/>
            </w:rPr>
            <w:t>11</w:t>
          </w:r>
        </w:fldSimple>
      </w:p>
    </w:sdtContent>
  </w:sdt>
  <w:p w:rsidR="001A4BA1" w:rsidRDefault="001A4B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B5" w:rsidRDefault="006E43B5" w:rsidP="001A4BA1">
      <w:pPr>
        <w:spacing w:before="0" w:after="0"/>
      </w:pPr>
      <w:r>
        <w:separator/>
      </w:r>
    </w:p>
  </w:footnote>
  <w:footnote w:type="continuationSeparator" w:id="0">
    <w:p w:rsidR="006E43B5" w:rsidRDefault="006E43B5" w:rsidP="001A4BA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9E3"/>
    <w:rsid w:val="00027487"/>
    <w:rsid w:val="0004006C"/>
    <w:rsid w:val="000B70C3"/>
    <w:rsid w:val="001A4BA1"/>
    <w:rsid w:val="00267D2D"/>
    <w:rsid w:val="00370195"/>
    <w:rsid w:val="006E43B5"/>
    <w:rsid w:val="00882836"/>
    <w:rsid w:val="008D4102"/>
    <w:rsid w:val="009A09E3"/>
    <w:rsid w:val="00A271F3"/>
    <w:rsid w:val="00C26AEC"/>
    <w:rsid w:val="00F06306"/>
    <w:rsid w:val="00FC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BA1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1A4BA1"/>
  </w:style>
  <w:style w:type="paragraph" w:styleId="a4">
    <w:name w:val="footer"/>
    <w:basedOn w:val="a"/>
    <w:link w:val="Char0"/>
    <w:uiPriority w:val="99"/>
    <w:unhideWhenUsed/>
    <w:rsid w:val="001A4BA1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1A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2023-06-21T03:00:00Z</dcterms:created>
  <dcterms:modified xsi:type="dcterms:W3CDTF">2023-06-21T03:07:00Z</dcterms:modified>
</cp:coreProperties>
</file>