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23" w:rsidRPr="0043144B" w:rsidRDefault="00756723" w:rsidP="00756723">
      <w:pPr>
        <w:jc w:val="center"/>
        <w:rPr>
          <w:rFonts w:asciiTheme="minorBidi" w:hAnsiTheme="minorBidi"/>
          <w:b/>
          <w:bCs/>
          <w:color w:val="833C0B" w:themeColor="accent2" w:themeShade="80"/>
          <w:sz w:val="36"/>
          <w:szCs w:val="36"/>
        </w:rPr>
      </w:pPr>
      <w:proofErr w:type="spellStart"/>
      <w:r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إجماعات</w:t>
      </w:r>
      <w:proofErr w:type="spellEnd"/>
      <w:r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أهل العلم</w:t>
      </w:r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على تحريم التهنئة بأعياد الكفار </w:t>
      </w:r>
      <w:proofErr w:type="spellStart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الدينية</w:t>
      </w:r>
      <w:r w:rsidR="00743D21"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وحضورها</w:t>
      </w:r>
      <w:r w:rsidR="00743D21"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وإعانتهم </w:t>
      </w:r>
      <w:proofErr w:type="spellStart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عليها</w:t>
      </w:r>
      <w:r w:rsidR="00743D21"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وإهدائهم </w:t>
      </w:r>
      <w:proofErr w:type="spellStart"/>
      <w:r w:rsidRPr="0043144B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بمناسبتها</w:t>
      </w:r>
      <w:r w:rsidR="00743D21"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ومشابهتهم فيما ي</w:t>
      </w:r>
      <w:r w:rsidR="00743D21"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ختص </w:t>
      </w:r>
      <w:proofErr w:type="spellStart"/>
      <w:r w:rsidRPr="0043144B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بها</w:t>
      </w:r>
      <w:proofErr w:type="spellEnd"/>
    </w:p>
    <w:p w:rsidR="00756723" w:rsidRPr="0043144B" w:rsidRDefault="00756723" w:rsidP="00756723">
      <w:pPr>
        <w:rPr>
          <w:rFonts w:asciiTheme="minorBidi" w:hAnsiTheme="minorBidi"/>
          <w:sz w:val="36"/>
          <w:szCs w:val="36"/>
          <w:rtl/>
        </w:rPr>
      </w:pPr>
    </w:p>
    <w:p w:rsidR="00756723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الحمد لله العلي</w:t>
      </w:r>
      <w:r w:rsidR="002203E0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الأعلى،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النبي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محمد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ٍ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رتض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ى،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2203E0" w:rsidRPr="000A7FF7">
        <w:rPr>
          <w:rFonts w:ascii="Times New Roman" w:hAnsi="Times New Roman" w:cs="Times New Roman"/>
          <w:sz w:val="36"/>
          <w:szCs w:val="36"/>
          <w:rtl/>
        </w:rPr>
        <w:t>المبعوث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2203E0" w:rsidRPr="000A7FF7">
        <w:rPr>
          <w:rFonts w:ascii="Times New Roman" w:hAnsi="Times New Roman" w:cs="Times New Roman"/>
          <w:sz w:val="36"/>
          <w:szCs w:val="36"/>
          <w:rtl/>
        </w:rPr>
        <w:t xml:space="preserve"> رحمة للناس </w:t>
      </w:r>
      <w:proofErr w:type="spellStart"/>
      <w:r w:rsidR="002203E0" w:rsidRPr="000A7FF7">
        <w:rPr>
          <w:rFonts w:ascii="Times New Roman" w:hAnsi="Times New Roman" w:cs="Times New Roman"/>
          <w:sz w:val="36"/>
          <w:szCs w:val="36"/>
          <w:rtl/>
        </w:rPr>
        <w:t>وهُدى،</w:t>
      </w:r>
      <w:proofErr w:type="spellEnd"/>
      <w:r w:rsidR="002203E0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sz w:val="36"/>
          <w:szCs w:val="36"/>
          <w:rtl/>
        </w:rPr>
        <w:t>وعلى آله وأزواجه وذ</w:t>
      </w:r>
      <w:r w:rsidR="002203E0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ري</w:t>
      </w:r>
      <w:r w:rsidR="002203E0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Pr="000A7FF7">
        <w:rPr>
          <w:rFonts w:ascii="Times New Roman" w:hAnsi="Times New Roman" w:cs="Times New Roman"/>
          <w:sz w:val="36"/>
          <w:szCs w:val="36"/>
          <w:rtl/>
        </w:rPr>
        <w:t>ته وأصحابه أهل التُّقى.</w:t>
      </w:r>
    </w:p>
    <w:p w:rsidR="00756723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وبعد</w:t>
      </w:r>
      <w:r w:rsidR="002203E0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،</w:t>
      </w:r>
      <w:proofErr w:type="spellEnd"/>
      <w:r w:rsidR="002203E0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أيُّها الف</w:t>
      </w:r>
      <w:r w:rsidR="00AD4CE7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ُ</w:t>
      </w:r>
      <w:r w:rsidR="002203E0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ضلاء</w:t>
      </w:r>
      <w:r w:rsidR="00AD4CE7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النُّبلاء</w:t>
      </w:r>
      <w:r w:rsidR="002203E0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 سلَّمكم الله وسدَّدكم </w:t>
      </w:r>
      <w:r w:rsidR="00AD4CE7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وزادكم فقهًا بدينه </w:t>
      </w:r>
      <w:r w:rsidR="002203E0" w:rsidRPr="000A7FF7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ــ:</w:t>
      </w:r>
    </w:p>
    <w:p w:rsidR="002203E0" w:rsidRPr="000A7FF7" w:rsidRDefault="002203E0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فهذه </w:t>
      </w:r>
      <w:r w:rsidR="00AB5C53" w:rsidRPr="000A7FF7">
        <w:rPr>
          <w:rFonts w:ascii="Times New Roman" w:hAnsi="Times New Roman" w:cs="Times New Roman"/>
          <w:sz w:val="36"/>
          <w:szCs w:val="36"/>
          <w:rtl/>
        </w:rPr>
        <w:t>سِتُّ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>وقفات حول ما وقفت عليه مِن اتفاقٍ وإجماعٍ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>ل</w:t>
      </w:r>
      <w:r w:rsidRPr="000A7FF7">
        <w:rPr>
          <w:rFonts w:ascii="Times New Roman" w:hAnsi="Times New Roman" w:cs="Times New Roman"/>
          <w:sz w:val="36"/>
          <w:szCs w:val="36"/>
          <w:rtl/>
        </w:rPr>
        <w:t>أهل العلم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 xml:space="preserve"> والفقه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 xml:space="preserve">ــ رحمهم الله ــ </w:t>
      </w:r>
      <w:r w:rsidRPr="000A7FF7">
        <w:rPr>
          <w:rFonts w:ascii="Times New Roman" w:hAnsi="Times New Roman" w:cs="Times New Roman"/>
          <w:sz w:val="36"/>
          <w:szCs w:val="36"/>
          <w:rtl/>
        </w:rPr>
        <w:t>على بعض المسائل الم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تعل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>قة بأعياد الكفار الد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>ين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ي</w:t>
      </w:r>
      <w:r w:rsidRPr="000A7FF7">
        <w:rPr>
          <w:rFonts w:ascii="Times New Roman" w:hAnsi="Times New Roman" w:cs="Times New Roman"/>
          <w:sz w:val="36"/>
          <w:szCs w:val="36"/>
          <w:rtl/>
        </w:rPr>
        <w:t>ة.</w:t>
      </w:r>
    </w:p>
    <w:p w:rsidR="002203E0" w:rsidRPr="000A7FF7" w:rsidRDefault="002203E0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وأسأل الله تعالى أنْ ي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نفع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بِها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الكاتب والقارئ والناشر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ها</w:t>
      </w:r>
      <w:r w:rsidR="008B44F7"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وع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موم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إنَّه سميع مجيب.</w:t>
      </w:r>
    </w:p>
    <w:p w:rsidR="002203E0" w:rsidRPr="000A7FF7" w:rsidRDefault="002203E0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ثم أقول مستعينًا بالله ــ جلَّ وعزَّ وتبار</w:t>
      </w:r>
      <w:r w:rsidR="00251476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ك ــ:</w:t>
      </w:r>
    </w:p>
    <w:p w:rsidR="00756723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الأولى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تهنئة الكفار بأعيادهم الد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ينية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756723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قال الإمام ابن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قيِّمِ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الجوزيَّة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"أحكام أهل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</w:t>
      </w:r>
      <w:r w:rsidR="00EB4CF4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مة"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205-206 أو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441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756723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وأمَّا التهنئة بشعائر الك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فر الم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ختصَّة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فحرام</w:t>
      </w:r>
      <w:r w:rsidRPr="000A7FF7">
        <w:rPr>
          <w:rFonts w:ascii="Times New Roman" w:hAnsi="Times New Roman" w:cs="Times New Roman"/>
          <w:sz w:val="36"/>
          <w:szCs w:val="36"/>
          <w:rtl/>
        </w:rPr>
        <w:t>ٌ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بالاتفاق،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مثل</w:t>
      </w:r>
      <w:r w:rsidRPr="000A7FF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أنْ يُهنِّئَهم بأعيادهم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وصوم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فيقول: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"عيد</w:t>
      </w:r>
      <w:r w:rsidRPr="000A7FF7">
        <w:rPr>
          <w:rFonts w:ascii="Times New Roman" w:hAnsi="Times New Roman" w:cs="Times New Roman"/>
          <w:sz w:val="36"/>
          <w:szCs w:val="36"/>
          <w:rtl/>
        </w:rPr>
        <w:t>ٌ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بار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ك</w:t>
      </w:r>
      <w:r w:rsidRPr="000A7FF7">
        <w:rPr>
          <w:rFonts w:ascii="Times New Roman" w:hAnsi="Times New Roman" w:cs="Times New Roman"/>
          <w:sz w:val="36"/>
          <w:szCs w:val="36"/>
          <w:rtl/>
        </w:rPr>
        <w:t>ٌ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عليك"،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"تَهنأ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بهذا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العيد"،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ونحوه.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فهذا إنْ سلِم قائله مِن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الك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فهو مِن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المحر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Pr="000A7FF7">
        <w:rPr>
          <w:rFonts w:ascii="Times New Roman" w:hAnsi="Times New Roman" w:cs="Times New Roman"/>
          <w:sz w:val="36"/>
          <w:szCs w:val="36"/>
          <w:rtl/>
        </w:rPr>
        <w:t>مات،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وهو بمنزلة أنْ يُهنِّئ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 بسجوده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للصليب،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بل ذلك أعظم إثمًا عند الله وأشد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ّ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قتًا مِن التهنئ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ة بشُرب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الخمر،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وقتلِ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النفس،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وارتكاب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الفرْج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الحرام،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ونحوه.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lastRenderedPageBreak/>
        <w:t>وكثيرٌ مِمِّن لا قَدْر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للدين عنده ي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قع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ولا يَدري قُب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ح ما فع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ل.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فمَن هنَّأ عبدًا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بمعصية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ٍ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بدعة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ٍ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كُفر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ٍ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فقد تعرَّض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>مق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Pr="000A7FF7">
        <w:rPr>
          <w:rFonts w:ascii="Times New Roman" w:hAnsi="Times New Roman" w:cs="Times New Roman"/>
          <w:sz w:val="36"/>
          <w:szCs w:val="36"/>
          <w:rtl/>
        </w:rPr>
        <w:t>ت الله وس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خط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>ه</w:t>
      </w:r>
      <w:r w:rsidR="006C3D02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</w:t>
      </w:r>
      <w:r w:rsidR="00EB4CF4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محمد بن صالح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العثيمين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تهنئة الكفار بعيد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الك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ريسمس،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غيره مِن أعيادهم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الد</w:t>
      </w:r>
      <w:r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ينية،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حرام</w:t>
      </w:r>
      <w:r w:rsidRPr="000A7FF7">
        <w:rPr>
          <w:rFonts w:ascii="Times New Roman" w:hAnsi="Times New Roman" w:cs="Times New Roman"/>
          <w:sz w:val="36"/>
          <w:szCs w:val="36"/>
          <w:rtl/>
        </w:rPr>
        <w:t>ٌ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بالاتفاق،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كما نَقل ذلك ابن القي</w:t>
      </w:r>
      <w:r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م.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وإنَّما كانت تهنئة الكفار بأعيادهم الد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ينية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حرامًا،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لأنَّ فيها إقرارًا لِمَا هُم عليه مِن شعائر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الك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ورِضًا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وإنْ كان المُهَنِّئُ لا يَرض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ى بهذا الكفر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لنفسه،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لكن يَحر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م عليه أنْ ي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رض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ى بشعائر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الكفر،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أو يُهنِّئ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>ها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غير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لأنَّ الله تعالى لا يَرض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ى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كما قال الله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تعالى: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A7FF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إِنْ تَكْفُرُوا فَإِنَّ الله غَنِيٌّ عَنْكُمْ وَلَا يَرْضَى لِعِبَادِهِ الْكُفْرَ }</w:t>
      </w:r>
      <w:r w:rsidR="00251476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557CD" w:rsidRPr="000A7FF7" w:rsidRDefault="00A557CD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حمود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التُويجري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"تُحفة الإخوان بما جاء في الموالاة والمعاداة والحُب والبُغض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والهُجران"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(ص: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24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بعد كلام الإمام ابن قيِّم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الجوزية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المُتقدِّم:</w:t>
      </w:r>
    </w:p>
    <w:p w:rsidR="00A557CD" w:rsidRPr="000A7FF7" w:rsidRDefault="00A557CD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>فانظر إلى حكايته الاتفاق على تحريم تَهنئة أعداء الله تعالى بأعيادهم الباطلة.</w:t>
      </w:r>
    </w:p>
    <w:p w:rsidR="00A557CD" w:rsidRPr="000A7FF7" w:rsidRDefault="00A557CD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وانظر إلى ما وقع فيه كثير مِن المسلمين في زماننا لِتعرف غُربة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الدين،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والله المستعان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الثانية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إعانة وم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ساعدة الكفار بأي</w:t>
      </w:r>
      <w:r w:rsidR="00EB4CF4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شيء مِن مصلحة أعيادهم الد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ينية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251476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قيِّمِ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الجوزيَّة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"أحكام أهل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الذِّمة"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722 أو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251476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وكما أنَّهم لا يجوز لهم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إظهاره،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فلا يجوز للمسلمين مُمالأتهم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مُساعدتهم،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الحضور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معهم،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باتفاق أهل العلم الذين هُم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أهله،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وقد صرَّح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الفقهاء مِن أتْبَاع الأئمة الأربعة في كتبهم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</w:t>
      </w:r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نَقل الفقيه ابن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الحاج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</w:t>
      </w:r>
      <w:proofErr w:type="spellStart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دخ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ل"</w:t>
      </w:r>
      <w:proofErr w:type="spellEnd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47-48</w:t>
      </w:r>
      <w:proofErr w:type="spellStart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الإمام ابن القاسم صاحب إمام أهل المدينة مالك بن أنس ــ رحمهما الله ــ: </w:t>
      </w:r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أنَّه لا يَحِلُّ للمسلمين أنْ يَبيعوا للنصارى شيئًا مِن مَصلَحَة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عيدهم،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لحمًا،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إدَامًا،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ثوبًا،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يُعَارُون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دابَّة،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يُعانُون على شيءٍ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دِينِهِم،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لأنَّ ذلك مِن التعظيم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لِشركِهم،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وعَونِهِم على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كُفرِهم،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ويَنْبَغِي للسَّلاطين أنْ يَنهَوا المسلمين عن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وهو قول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مالكٍ،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وغيرِه،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لم أعْلم أحَدًا اخْتَلَفَ في ذلك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51476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يعني: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sz w:val="36"/>
          <w:szCs w:val="36"/>
          <w:rtl/>
        </w:rPr>
        <w:t>مِن العلماء.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ون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قله أيضًا عنه الإمام ابن تيمية ــ رحمه الله ــ في كتابه "اقتضاء الصراط المستقيم ل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مخالفة أصحاب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حيم"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19-20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وأقرَّه إجماعًا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عليه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فقال عقبه:</w:t>
      </w:r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وقد ذَكر أنَّه قد أُ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ج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مِع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كراهة</w:t>
      </w:r>
      <w:r w:rsidRPr="000A7FF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بايعت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هادات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ما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ستعينون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على أعيادهم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2B03E3" w:rsidRPr="000A7FF7" w:rsidRDefault="002B03E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وقد قال الله ــ تبارك وتقدَّس ــ في أوَّل سورة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"المائدة"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زاجِرًا عباده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المؤمنين:</w:t>
      </w:r>
      <w:proofErr w:type="spellEnd"/>
      <w:r w:rsidR="000A7FF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A7FF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وَلَا تَعَاوَنُوا عَلَى الْإِثْمِ وَالْعُدْوَانِ وَاتَّقُوا الله إِنَّ الله شَدِيدُ الْعِقَابِ </w:t>
      </w:r>
      <w:proofErr w:type="spellStart"/>
      <w:r w:rsidRPr="000A7FF7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A7FF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B03E3" w:rsidRPr="000A7FF7" w:rsidRDefault="002B03E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فحرَّم سبحانه فِعل أيّ شيء يُعين على ما فيه إثْمٌ أو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عُدوان،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فكيف إذا كانت الإعانة على شيء مِن شعائر الكُفر بالله.</w:t>
      </w:r>
    </w:p>
    <w:p w:rsidR="002B03E3" w:rsidRPr="000A7FF7" w:rsidRDefault="002B03E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لا رَيْب أنَّ التحريم والإثْم يكون أشَدّ وأعظم.</w:t>
      </w:r>
    </w:p>
    <w:p w:rsidR="002B03E3" w:rsidRPr="000A7FF7" w:rsidRDefault="002B03E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lastRenderedPageBreak/>
        <w:t>بل إنَّ المسلم لا يَحِل له أنْ يُعين الكفار على معصية شُرب الخمر بعصر</w:t>
      </w:r>
      <w:r w:rsidR="007D449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لَهم،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بنصِّ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الشريعة،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واتفاق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العلماء،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فكيف بإعانته لهم فيما هو مِن شعائر الكُفر بالله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كهذه الأعياد.</w:t>
      </w:r>
    </w:p>
    <w:p w:rsidR="00544877" w:rsidRPr="000A7FF7" w:rsidRDefault="00544877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331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544877" w:rsidRPr="000A7FF7" w:rsidRDefault="00544877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بل قد شَرَط عليهم أمير المؤمنين عمر 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الخطاب،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والصحابة،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وسائر أئمة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أنْ لا يُظهروا أعيادهم في دار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وإنَّما يعملونها سِرًّا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مساكنهم،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فكيف إذا أظهرَها المسلمون أنفسهم؟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الثالثة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حضور أعياد الكفار الد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ينية ومشاركتهم فيها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قيِّمِ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الجوزيَّة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"أحكام أهل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</w:t>
      </w:r>
      <w:r w:rsidR="00EB4CF4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مة"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722 أو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وكما أنَّهم لا يجوز لهم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إظهاره،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فلا يجوز للمسلمين 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مالأتهم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ساعدتهم،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الحضور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معهم،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باتفاق أهل العلم الذين 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أهله،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وقد صرَّح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الفقهاء مِن أت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ب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اع الأئمة الأربعة في كتبهم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محمد بن إبراهيم آل الشيخ ــ رحمه الله ــ 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فتاويه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ورسائله"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105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مشاركة بعض المسلمين للكفار في 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عي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دهم:</w:t>
      </w:r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وهذا أمْرٌ 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نك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ر ما كان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نبغي لهم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ف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عله،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ن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ش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ك في أن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كم ت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عرفون عدم جواز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وما ذ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كره أهل العلم مِن الاتفاق على ح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ظ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ر مشاركة الكفار مِن مشركين وأهل كتاب في أعيادهم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EB4CF4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ابن تيمية ــ رحمه الله ــ في كتابه "اقتضاء الصراط المستقيم ل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مخالفة أصحاب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حيم"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478-479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إذا تقرَّر هذا الأصل في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شابهت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فنقول: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موافقتهم في أعيادهم لا تجوز مِن طريقين:</w:t>
      </w:r>
    </w:p>
    <w:p w:rsidR="003E0558" w:rsidRPr="000A7FF7" w:rsidRDefault="003E0558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الطريق الأوَّل: </w:t>
      </w:r>
      <w:r w:rsidRPr="000A7FF7">
        <w:rPr>
          <w:rFonts w:ascii="Times New Roman" w:hAnsi="Times New Roman" w:cs="Times New Roman"/>
          <w:sz w:val="36"/>
          <w:szCs w:val="36"/>
          <w:rtl/>
        </w:rPr>
        <w:t>.....</w:t>
      </w:r>
    </w:p>
    <w:p w:rsidR="00EB4CF4" w:rsidRPr="000A7FF7" w:rsidRDefault="003E0558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</w:t>
      </w:r>
      <w:r w:rsidR="00EB4CF4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الطريق الثاني الخاص في نفس أعياد </w:t>
      </w:r>
      <w:proofErr w:type="spellStart"/>
      <w:r w:rsidR="00EB4CF4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الكفار:</w:t>
      </w:r>
      <w:proofErr w:type="spellEnd"/>
      <w:r w:rsidR="000A7FF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فالكتاب،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EB4CF4" w:rsidRPr="000A7FF7">
        <w:rPr>
          <w:rFonts w:ascii="Times New Roman" w:hAnsi="Times New Roman" w:cs="Times New Roman"/>
          <w:sz w:val="36"/>
          <w:szCs w:val="36"/>
          <w:rtl/>
        </w:rPr>
        <w:t>والإجماع،</w:t>
      </w:r>
      <w:proofErr w:type="spellEnd"/>
      <w:r w:rsidR="00EB4CF4" w:rsidRPr="000A7FF7">
        <w:rPr>
          <w:rFonts w:ascii="Times New Roman" w:hAnsi="Times New Roman" w:cs="Times New Roman"/>
          <w:sz w:val="36"/>
          <w:szCs w:val="36"/>
          <w:rtl/>
        </w:rPr>
        <w:t xml:space="preserve"> والاعتبار</w:t>
      </w:r>
      <w:r w:rsidR="00251476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C44791" w:rsidRPr="000A7FF7" w:rsidRDefault="00C44791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وأخر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ج عبد الرزاق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251476" w:rsidRPr="000A7FF7">
        <w:rPr>
          <w:rFonts w:ascii="Times New Roman" w:hAnsi="Times New Roman" w:cs="Times New Roman"/>
          <w:sz w:val="36"/>
          <w:szCs w:val="36"/>
          <w:rtl/>
        </w:rPr>
        <w:t>الصَّنعاني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"م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صنَّفه"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(</w:t>
      </w:r>
      <w:r w:rsidR="00C705DE" w:rsidRPr="000A7FF7">
        <w:rPr>
          <w:rFonts w:ascii="Times New Roman" w:hAnsi="Times New Roman" w:cs="Times New Roman"/>
          <w:sz w:val="36"/>
          <w:szCs w:val="36"/>
          <w:rtl/>
        </w:rPr>
        <w:t>1609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والب</w:t>
      </w:r>
      <w:r w:rsidR="00251476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يهقي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في "السُّنن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الكبرى"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(</w:t>
      </w:r>
      <w:r w:rsidR="00C705DE" w:rsidRPr="000A7FF7">
        <w:rPr>
          <w:rFonts w:ascii="Times New Roman" w:hAnsi="Times New Roman" w:cs="Times New Roman"/>
          <w:sz w:val="36"/>
          <w:szCs w:val="36"/>
          <w:rtl/>
        </w:rPr>
        <w:t>18861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)،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واللفظ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له،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عن عمر بن الخطاب ــ رضي الله عنه ــ أنَّه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تَدْخُلُوا عَلَى الْمُشْرِكِينَ فِي كَنَائِسِهِمْ يَوْمَ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عِيدِهِمْ,</w:t>
      </w:r>
      <w:proofErr w:type="spellEnd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السَّخْطَةَ</w:t>
      </w:r>
      <w:proofErr w:type="spellEnd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تَنْزِلُ عَلَيْهِمْ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A7FF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C44791" w:rsidRPr="000A7FF7" w:rsidRDefault="00C44791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وقال الأئمة ابن </w:t>
      </w:r>
      <w:proofErr w:type="spellStart"/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تيمية</w:t>
      </w:r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وابن قيِّم </w:t>
      </w:r>
      <w:proofErr w:type="spellStart"/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الجوزية</w:t>
      </w:r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وابن كثير</w:t>
      </w:r>
      <w:r w:rsidR="00251476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proofErr w:type="spellStart"/>
      <w:r w:rsidR="00251476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الشافعي</w:t>
      </w:r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ونجم الدين الغَزِّي </w:t>
      </w:r>
      <w:proofErr w:type="spellStart"/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الشافعي،</w:t>
      </w:r>
      <w:proofErr w:type="spellEnd"/>
      <w:r w:rsidR="00113035"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ــ رحمهم الله ــ:</w:t>
      </w:r>
    </w:p>
    <w:p w:rsidR="00C44791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C44791" w:rsidRPr="000A7FF7">
        <w:rPr>
          <w:rFonts w:ascii="Times New Roman" w:hAnsi="Times New Roman" w:cs="Times New Roman"/>
          <w:sz w:val="36"/>
          <w:szCs w:val="36"/>
          <w:rtl/>
        </w:rPr>
        <w:t xml:space="preserve">رواه </w:t>
      </w:r>
      <w:proofErr w:type="spellStart"/>
      <w:r w:rsidR="00C44791" w:rsidRPr="000A7FF7">
        <w:rPr>
          <w:rFonts w:ascii="Times New Roman" w:hAnsi="Times New Roman" w:cs="Times New Roman"/>
          <w:sz w:val="36"/>
          <w:szCs w:val="36"/>
          <w:rtl/>
        </w:rPr>
        <w:t>البيهقي</w:t>
      </w:r>
      <w:proofErr w:type="spellEnd"/>
      <w:r w:rsidR="00C44791" w:rsidRPr="000A7FF7">
        <w:rPr>
          <w:rFonts w:ascii="Times New Roman" w:hAnsi="Times New Roman" w:cs="Times New Roman"/>
          <w:sz w:val="36"/>
          <w:szCs w:val="36"/>
          <w:rtl/>
        </w:rPr>
        <w:t xml:space="preserve"> بإسناد صحيح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C44791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74914" w:rsidRPr="000A7FF7" w:rsidRDefault="00974914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</w:t>
      </w:r>
      <w:r w:rsidR="00B8621F" w:rsidRPr="000A7FF7">
        <w:rPr>
          <w:rFonts w:ascii="Times New Roman" w:hAnsi="Times New Roman" w:cs="Times New Roman"/>
          <w:sz w:val="36"/>
          <w:szCs w:val="36"/>
          <w:rtl/>
        </w:rPr>
        <w:t>مِن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3875A8" w:rsidRPr="000A7FF7">
        <w:rPr>
          <w:rFonts w:ascii="Times New Roman" w:hAnsi="Times New Roman" w:cs="Times New Roman"/>
          <w:sz w:val="36"/>
          <w:szCs w:val="36"/>
          <w:rtl/>
        </w:rPr>
        <w:t>طريق آخَر</w:t>
      </w:r>
      <w:r w:rsidR="00B8621F" w:rsidRPr="000A7FF7">
        <w:rPr>
          <w:rFonts w:ascii="Times New Roman" w:hAnsi="Times New Roman" w:cs="Times New Roman"/>
          <w:sz w:val="36"/>
          <w:szCs w:val="36"/>
          <w:rtl/>
        </w:rPr>
        <w:t xml:space="preserve"> عنه ــ رضي الله عنه ــ </w:t>
      </w:r>
      <w:proofErr w:type="spellStart"/>
      <w:r w:rsidR="00B8621F" w:rsidRPr="000A7FF7">
        <w:rPr>
          <w:rFonts w:ascii="Times New Roman" w:hAnsi="Times New Roman" w:cs="Times New Roman"/>
          <w:sz w:val="36"/>
          <w:szCs w:val="36"/>
          <w:rtl/>
        </w:rPr>
        <w:t>أيضًا،</w:t>
      </w:r>
      <w:proofErr w:type="spellEnd"/>
      <w:r w:rsidR="00B8621F" w:rsidRPr="000A7FF7">
        <w:rPr>
          <w:rFonts w:ascii="Times New Roman" w:hAnsi="Times New Roman" w:cs="Times New Roman"/>
          <w:sz w:val="36"/>
          <w:szCs w:val="36"/>
          <w:rtl/>
        </w:rPr>
        <w:t xml:space="preserve"> أنَّه </w:t>
      </w:r>
      <w:proofErr w:type="spellStart"/>
      <w:r w:rsidR="00B8621F" w:rsidRPr="000A7FF7">
        <w:rPr>
          <w:rFonts w:ascii="Times New Roman" w:hAnsi="Times New Roman" w:cs="Times New Roman"/>
          <w:sz w:val="36"/>
          <w:szCs w:val="36"/>
          <w:rtl/>
        </w:rPr>
        <w:t>قال</w:t>
      </w:r>
      <w:r w:rsidRPr="000A7FF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3875A8"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اجْتَنِبُوا أَعْدَاءَ اللَّهِ فِى عِيدِهِمْ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A7FF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74914" w:rsidRPr="000A7FF7" w:rsidRDefault="00974914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وصحَّحه:</w:t>
      </w:r>
      <w:proofErr w:type="spellEnd"/>
      <w:r w:rsidR="003875A8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sz w:val="36"/>
          <w:szCs w:val="36"/>
          <w:rtl/>
        </w:rPr>
        <w:t>نجم الدين الغَزِّي</w:t>
      </w:r>
      <w:r w:rsidR="00294900" w:rsidRPr="000A7FF7">
        <w:rPr>
          <w:rFonts w:ascii="Times New Roman" w:hAnsi="Times New Roman" w:cs="Times New Roman"/>
          <w:sz w:val="36"/>
          <w:szCs w:val="36"/>
          <w:rtl/>
        </w:rPr>
        <w:t>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الوقفة الرابعة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إعطاء المسلم للكافر هدية بمناسبة ع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يده الد</w:t>
      </w:r>
      <w:r w:rsidR="00251476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يني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نَقل الفقيه ابن الحاج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المالكي ــ رحمه الله ــ في كتابه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"الم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دخل"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47-48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251476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عن الإمام ابن القاسم صاحب إمام أهل المدينة مالك بن أنس ــ رحمهما الله ــ: </w:t>
      </w:r>
    </w:p>
    <w:p w:rsidR="00EB4CF4" w:rsidRPr="000A7FF7" w:rsidRDefault="0025147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أنَّه لا يَحِلُّ للمسلمين أنْ يَبيعوا للنصارى شيئًا مِن مَصلَحَة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عيدهم،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لحمًا،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إدَامًا،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ثوبًا،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يُعَارُون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دابَّة،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يُعانُون على شيءٍ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lastRenderedPageBreak/>
        <w:t>دِينِهِم،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لأنَّ ذلك مِن التعظيم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لِشركِهم،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وعَونِهِم على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كُفرِهم،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ويَنْبَغِي للسَّلاطين أنْ يَنهَوا المسلمين عن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وهو قول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مالكٍ،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وغيرِه،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لم أعْلم أحَدًا اخْتَلَفَ في ذلك</w:t>
      </w:r>
      <w:r w:rsidR="006C3D02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C3D02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يعني: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sz w:val="36"/>
          <w:szCs w:val="36"/>
          <w:rtl/>
        </w:rPr>
        <w:t>مِن العلماء.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وقال الإمام ابن تيمية ــ رحمه الله ــ في كتابه "اقتضاء الصراط المستقيم ل</w:t>
      </w:r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مخالفة أصحاب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</w:t>
      </w:r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حيم"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19-20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معقِّبًا على قول ابن القاسم</w:t>
      </w:r>
      <w:r w:rsidR="00AD4CE7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</w:t>
      </w:r>
      <w:proofErr w:type="spellStart"/>
      <w:r w:rsidR="00AD4CE7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ــ</w:t>
      </w:r>
      <w:r w:rsidR="005770E0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،</w:t>
      </w:r>
      <w:proofErr w:type="spellEnd"/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ومُقِرًّا لهذا الإجماع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</w:p>
    <w:p w:rsidR="00EB4CF4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>وقد ذَكر أنَّه قد أُ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ج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مِع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كراهة</w:t>
      </w:r>
      <w:r w:rsidRPr="000A7FF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بايعت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هادات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ما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ستعينون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على أعيادهم.اهـ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ــ رحمه الله ــ </w:t>
      </w:r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329-330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B4CF4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لا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ح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ل للمسلمين أنْ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تشبِّهوا بِهم في شيء مِمَّا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ختص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بأعيادهم،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لا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طعام،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لباس،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اغتسال،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إيقاد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ن</w:t>
      </w:r>
      <w:r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يران،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بطيل عادة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معيشة،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عبادة،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غير ذلك. 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ولا يَحِل فِعل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وليمة،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الإهداء،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البيع بما ي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ستعان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لأج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ل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مكين الص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sz w:val="36"/>
          <w:szCs w:val="36"/>
          <w:rtl/>
        </w:rPr>
        <w:t>بيان ونحو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هم مِن اللعب الذي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الأعياد،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إظهار ز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ينة. 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وبالجملة</w:t>
      </w:r>
      <w:r w:rsidR="003E0558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ليس ل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هم أنْ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ّ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وا أعيادهم بشيء مِن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شعائرهم،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بل يكون يوم عيدهم عند المسلمين كسائر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Pr="000A7FF7">
        <w:rPr>
          <w:rFonts w:ascii="Times New Roman" w:hAnsi="Times New Roman" w:cs="Times New Roman"/>
          <w:sz w:val="36"/>
          <w:szCs w:val="36"/>
          <w:rtl/>
        </w:rPr>
        <w:t>ام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لا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ّ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 المسلمون بشيء مِن خصائصهم. 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وأم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Pr="000A7FF7">
        <w:rPr>
          <w:rFonts w:ascii="Times New Roman" w:hAnsi="Times New Roman" w:cs="Times New Roman"/>
          <w:sz w:val="36"/>
          <w:szCs w:val="36"/>
          <w:rtl/>
        </w:rPr>
        <w:t>ا ت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>يصه ب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ما تقدَّم 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ذِكره فلا ن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زاع فيه بين العلماء.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بل قد ذهب طائفة مِن العلماء إلى ك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 مَن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فعل هذه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الأمور،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لِم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ا فيها مِن تعظيم شعائر الك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</w:t>
      </w:r>
      <w:r w:rsidR="006C3D02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lastRenderedPageBreak/>
        <w:t>الوقفة الخامسة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التشبُّه بالكفار بأيِّ شيء مِمَّا ي</w:t>
      </w:r>
      <w:r w:rsidR="006C3D02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ختص بأعيادهم الد</w:t>
      </w:r>
      <w:r w:rsidR="006C3D02"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ِّ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ينية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EB4CF4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تيمية ــ رحمه الله ــ 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329-330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EB4CF4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لا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ح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ل للمسلمين أنْ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تشبِّهوا بِهم في شيء مِمَّا ي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ختص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بأعيادهم،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لا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طعام،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لباس،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اغتسال،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إيقاد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نيران،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ولا تبطيل عادة مِن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معيشة،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عبادة،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أو غير ذلك. 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ولا يَحِل فِعل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وليمة،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الإهداء،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البيع بما ي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ستعان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لأج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ل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تمكين الصبيان ونحوهم مِن اللعب الذي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الأعياد،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إظهار زينة. 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وبالج</w:t>
      </w:r>
      <w:r w:rsidR="00A05F29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ملة</w:t>
      </w:r>
      <w:r w:rsidR="003E0558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ليس لهم أنْ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ّ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وا أعيادهم بشيء مِن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شعائرهم،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بل يكون يوم عيدهم عند المسلمين كسائر الأيام لا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ّ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 المسلمون بشيء مِن خصائصهم. 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وأمَّا إذا أصابه المسلمون قصدًا فقد كَر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ه ذلك طوائف مِن السّلف والخلف. 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وأم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Pr="000A7FF7">
        <w:rPr>
          <w:rFonts w:ascii="Times New Roman" w:hAnsi="Times New Roman" w:cs="Times New Roman"/>
          <w:sz w:val="36"/>
          <w:szCs w:val="36"/>
          <w:rtl/>
        </w:rPr>
        <w:t>ا ت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>خص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يصه بما تقدَّم 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ذِك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ره فلا نزاع فيه بين العلماء.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>بل قد ذهب طائفة مِن العلماء إلى ك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 مَن ي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فعل هذه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الأمور،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لِما فيها مِن تعظيم شعائر الك</w:t>
      </w:r>
      <w:r w:rsidR="006C3D02"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Pr="000A7FF7">
        <w:rPr>
          <w:rFonts w:ascii="Times New Roman" w:hAnsi="Times New Roman" w:cs="Times New Roman"/>
          <w:sz w:val="36"/>
          <w:szCs w:val="36"/>
          <w:rtl/>
        </w:rPr>
        <w:t>فر</w:t>
      </w:r>
      <w:r w:rsidR="006C3D02"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56045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327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05F29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وقد دَلَّ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الكتاب،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وجاءت سُنَّة رسول الله صلى الله عليه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وسلم،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وسُنَّة خلفائه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الراشدين،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التي أج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="00EB4CF4"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ع أهل العلم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عليها: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بمخالفتهم،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رْك الت</w:t>
      </w:r>
      <w:r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شبُّه بِهم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05F29" w:rsidRPr="000A7FF7" w:rsidRDefault="00756723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56045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أيضًا في كتابه "اقتضاء الصراط المستقيم ل</w:t>
      </w:r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ِ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مخالفة أصحاب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</w:t>
      </w:r>
      <w:r w:rsidR="006C3D02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َ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حيم"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478-479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05F29" w:rsidRPr="000A7FF7" w:rsidRDefault="006C3D02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إذا تقرَّر هذا الأصل في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شابهتهم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فنقول: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756723" w:rsidRPr="000A7FF7">
        <w:rPr>
          <w:rFonts w:ascii="Times New Roman" w:hAnsi="Times New Roman" w:cs="Times New Roman"/>
          <w:sz w:val="36"/>
          <w:szCs w:val="36"/>
          <w:rtl/>
        </w:rPr>
        <w:t>وافقتهم في أعيادهم لا تجوز مِن طريقين:</w:t>
      </w:r>
    </w:p>
    <w:p w:rsidR="003E0558" w:rsidRPr="000A7FF7" w:rsidRDefault="003E0558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الطريق الأوَّل: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 .....</w:t>
      </w:r>
    </w:p>
    <w:p w:rsidR="00756723" w:rsidRPr="000A7FF7" w:rsidRDefault="003E0558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وأمَّا </w:t>
      </w:r>
      <w:r w:rsidR="00756723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الطريق الثاني الخاص في نفس أعياد </w:t>
      </w:r>
      <w:proofErr w:type="spellStart"/>
      <w:r w:rsidR="00756723"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الكفار:</w:t>
      </w:r>
      <w:proofErr w:type="spellEnd"/>
      <w:r w:rsidR="000A7FF7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فالكتاب،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والسُّنة،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56723" w:rsidRPr="000A7FF7">
        <w:rPr>
          <w:rFonts w:ascii="Times New Roman" w:hAnsi="Times New Roman" w:cs="Times New Roman"/>
          <w:sz w:val="36"/>
          <w:szCs w:val="36"/>
          <w:rtl/>
        </w:rPr>
        <w:t>والإجماع،</w:t>
      </w:r>
      <w:proofErr w:type="spellEnd"/>
      <w:r w:rsidR="00756723" w:rsidRPr="000A7FF7">
        <w:rPr>
          <w:rFonts w:ascii="Times New Roman" w:hAnsi="Times New Roman" w:cs="Times New Roman"/>
          <w:sz w:val="36"/>
          <w:szCs w:val="36"/>
          <w:rtl/>
        </w:rPr>
        <w:t xml:space="preserve"> والاعتبار.اهـ</w:t>
      </w:r>
    </w:p>
    <w:p w:rsidR="00956045" w:rsidRPr="000A7FF7" w:rsidRDefault="00956045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وثبت عن النَّبي صلى الله عليه وسلم أنَّه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تَشَبَّه بِقَومٍ فَهُوَ مِنْهُم </w:t>
      </w:r>
      <w:proofErr w:type="spellStart"/>
      <w:r w:rsidRPr="000A7FF7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A7FF7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 xml:space="preserve">وقد حَكَم بثبوت هذا الحديث: </w:t>
      </w:r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ابن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حِبَّان،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تيميَّة،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وأبو عبد الله 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مُفلح،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والذَّهبي،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وزَين الدِّين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العراقي،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وابن حَجَر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العسقلاني،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والمُناوي،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والبهوتي،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ومحمد بن عبد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الوهاب،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وأحمد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شاكر،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والألباني،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باز،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والعُثيمين،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وعبد المحسن العباد.</w:t>
      </w:r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الحافظ ابن كثير الشافعي ــ رحمه الله ــ في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"تفسيره"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374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عقبه:</w:t>
      </w:r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ففيه دَلالةٌ على النَّهى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الشَّديد،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والتَّهديدِ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والوَعِيد،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على التَّشبُّهِ بالكفَّار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أقوالهِم،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وأفعالهِم،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ولباسهِم،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وأعيادهم،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وعباداتهم،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وغير ذلك مِن أمورهم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العلامة أحمد شاكر المصري ــ رحمه الله ــ في تعليقه على "مسند الإمام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أحمد"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(10/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19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956045" w:rsidRPr="000A7FF7" w:rsidRDefault="00956045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ولم يَختلف أهل العلم مُنذ الصَّدر الأوَّل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أعنِي: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حُرمَة التَّشبُّه بالكفار ــ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A84891" w:rsidRPr="000A7FF7" w:rsidRDefault="00A84891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تيمية ــ رحمه الله ــ في كتابه "اقتضاء الصراط المستقيم </w:t>
      </w:r>
      <w:r w:rsidR="005770E0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لِمخالفة أصحاب </w:t>
      </w:r>
      <w:proofErr w:type="spellStart"/>
      <w:r w:rsidR="005770E0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الجَحيم"</w:t>
      </w:r>
      <w:proofErr w:type="spellEnd"/>
      <w:r w:rsidR="005770E0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(1/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185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</w:t>
      </w:r>
      <w:r w:rsidR="005770E0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:</w:t>
      </w:r>
      <w:proofErr w:type="spellEnd"/>
    </w:p>
    <w:p w:rsidR="00A84891" w:rsidRPr="000A7FF7" w:rsidRDefault="005770E0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lastRenderedPageBreak/>
        <w:t>«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وجاءت س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ن</w:t>
      </w:r>
      <w:r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ة رسول الله صلى الله 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عليه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وسلم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 وس</w:t>
      </w:r>
      <w:r w:rsidRPr="000A7FF7">
        <w:rPr>
          <w:rFonts w:ascii="Times New Roman" w:hAnsi="Times New Roman" w:cs="Times New Roman"/>
          <w:sz w:val="36"/>
          <w:szCs w:val="36"/>
          <w:rtl/>
        </w:rPr>
        <w:t>ُ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ن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َّة خلفائه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الراشدين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 التي أ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ج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م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ع الفقهاء </w:t>
      </w:r>
      <w:proofErr w:type="spellStart"/>
      <w:r w:rsidR="00A84891" w:rsidRPr="000A7FF7">
        <w:rPr>
          <w:rFonts w:ascii="Times New Roman" w:hAnsi="Times New Roman" w:cs="Times New Roman"/>
          <w:sz w:val="36"/>
          <w:szCs w:val="36"/>
          <w:rtl/>
        </w:rPr>
        <w:t>عليها</w:t>
      </w:r>
      <w:r w:rsidRPr="000A7FF7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A84891" w:rsidRPr="000A7FF7">
        <w:rPr>
          <w:rFonts w:ascii="Times New Roman" w:hAnsi="Times New Roman" w:cs="Times New Roman"/>
          <w:sz w:val="36"/>
          <w:szCs w:val="36"/>
          <w:rtl/>
        </w:rPr>
        <w:t>بمخالفتهم</w:t>
      </w:r>
      <w:r w:rsidRPr="000A7FF7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A84891" w:rsidRPr="000A7FF7">
        <w:rPr>
          <w:rFonts w:ascii="Times New Roman" w:hAnsi="Times New Roman" w:cs="Times New Roman"/>
          <w:sz w:val="36"/>
          <w:szCs w:val="36"/>
          <w:rtl/>
        </w:rPr>
        <w:t xml:space="preserve"> وت</w:t>
      </w:r>
      <w:r w:rsidRPr="000A7FF7">
        <w:rPr>
          <w:rFonts w:ascii="Times New Roman" w:hAnsi="Times New Roman" w:cs="Times New Roman"/>
          <w:sz w:val="36"/>
          <w:szCs w:val="36"/>
          <w:rtl/>
        </w:rPr>
        <w:t>َ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ر</w:t>
      </w:r>
      <w:r w:rsidRPr="000A7FF7">
        <w:rPr>
          <w:rFonts w:ascii="Times New Roman" w:hAnsi="Times New Roman" w:cs="Times New Roman"/>
          <w:sz w:val="36"/>
          <w:szCs w:val="36"/>
          <w:rtl/>
        </w:rPr>
        <w:t>ْ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ك الت</w:t>
      </w:r>
      <w:r w:rsidRPr="000A7FF7">
        <w:rPr>
          <w:rFonts w:ascii="Times New Roman" w:hAnsi="Times New Roman" w:cs="Times New Roman"/>
          <w:sz w:val="36"/>
          <w:szCs w:val="36"/>
          <w:rtl/>
        </w:rPr>
        <w:t>َّ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شب</w:t>
      </w:r>
      <w:r w:rsidRPr="000A7FF7">
        <w:rPr>
          <w:rFonts w:ascii="Times New Roman" w:hAnsi="Times New Roman" w:cs="Times New Roman"/>
          <w:sz w:val="36"/>
          <w:szCs w:val="36"/>
          <w:rtl/>
        </w:rPr>
        <w:t>ُّ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ه ب</w:t>
      </w:r>
      <w:r w:rsidRPr="000A7FF7">
        <w:rPr>
          <w:rFonts w:ascii="Times New Roman" w:hAnsi="Times New Roman" w:cs="Times New Roman"/>
          <w:sz w:val="36"/>
          <w:szCs w:val="36"/>
          <w:rtl/>
        </w:rPr>
        <w:t>ِهم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="00A84891" w:rsidRPr="000A7FF7">
        <w:rPr>
          <w:rFonts w:ascii="Times New Roman" w:hAnsi="Times New Roman" w:cs="Times New Roman"/>
          <w:sz w:val="36"/>
          <w:szCs w:val="36"/>
          <w:rtl/>
        </w:rPr>
        <w:t>.</w:t>
      </w:r>
      <w:r w:rsidRPr="000A7FF7">
        <w:rPr>
          <w:rFonts w:ascii="Times New Roman" w:hAnsi="Times New Roman" w:cs="Times New Roman"/>
          <w:sz w:val="36"/>
          <w:szCs w:val="36"/>
          <w:rtl/>
        </w:rPr>
        <w:t>اهـ</w:t>
      </w:r>
    </w:p>
    <w:p w:rsidR="006E12E9" w:rsidRPr="000A7FF7" w:rsidRDefault="006E12E9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وفي كتاب "الإحكام شرح أصول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الأحكام"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(4/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64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>)،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  <w:rtl/>
        </w:rPr>
        <w:t xml:space="preserve"> للعلامة عبد الرحمن ابن قاسم الحنبلي ــ رحمه الله ــ:</w:t>
      </w:r>
    </w:p>
    <w:p w:rsidR="006E12E9" w:rsidRPr="000A7FF7" w:rsidRDefault="006E12E9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 xml:space="preserve">«ويَحرُم حضور أعياد </w:t>
      </w:r>
      <w:proofErr w:type="spellStart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المشركين،</w:t>
      </w:r>
      <w:proofErr w:type="spellEnd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وأنْ يَفعل </w:t>
      </w:r>
      <w:proofErr w:type="spellStart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كفعلهم،</w:t>
      </w:r>
      <w:proofErr w:type="spellEnd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والتَّشبُّه بِهم مَنهِيٌّ عنه </w:t>
      </w:r>
      <w:proofErr w:type="spellStart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إجماعًا،</w:t>
      </w:r>
      <w:proofErr w:type="spellEnd"/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 xml:space="preserve"> وتجب عقوبة فاعله».اهـ</w:t>
      </w:r>
    </w:p>
    <w:p w:rsidR="002D12A6" w:rsidRPr="000A7FF7" w:rsidRDefault="002D12A6" w:rsidP="000A7FF7">
      <w:pPr>
        <w:spacing w:line="276" w:lineRule="auto"/>
        <w:ind w:left="0" w:right="284"/>
        <w:jc w:val="left"/>
        <w:rPr>
          <w:rFonts w:ascii="Times New Roman" w:hAnsi="Times New Roman" w:cs="Times New Roman"/>
          <w:sz w:val="36"/>
          <w:szCs w:val="36"/>
        </w:rPr>
      </w:pPr>
      <w:r w:rsidRPr="000A7FF7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الوقفة السادسة </w:t>
      </w:r>
      <w:proofErr w:type="spellStart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/</w:t>
      </w:r>
      <w:proofErr w:type="spellEnd"/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0A7FF7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عن الإجماع على تحريم تمكين الكفار مِن الظهور بشعائر أعيادهم الدِّينية بين المسلمين في بلادهم</w:t>
      </w:r>
      <w:r w:rsidRPr="000A7FF7">
        <w:rPr>
          <w:rFonts w:ascii="Times New Roman" w:hAnsi="Times New Roman" w:cs="Times New Roman"/>
          <w:b/>
          <w:bCs/>
          <w:sz w:val="36"/>
          <w:szCs w:val="36"/>
          <w:rtl/>
        </w:rPr>
        <w:t>.</w:t>
      </w:r>
    </w:p>
    <w:p w:rsidR="002D12A6" w:rsidRPr="000A7FF7" w:rsidRDefault="002D12A6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قال الإمام ابن تيمية ــ رحمه الله ــ كما في "جامع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المسائل"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373-374 ــ طبعة دار:عالم الفوائد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0B70C3" w:rsidRPr="000A7FF7" w:rsidRDefault="002D12A6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وقد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شَارَطَ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عمر بن الخطاب ــ رضي الله عنه ــ أهلَ الكتاب أنْ لا يُظهِروا شيئًا مِن شعائرهم بين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شيئًا مِن شعائر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الكفار،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الأعياد،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غيرها،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واتفق المسلمون على نَهيهم عن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كما شَرَطَه عليهم أمير المؤمنين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687395" w:rsidRPr="000A7FF7" w:rsidRDefault="00687395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</w:t>
      </w:r>
      <w:r w:rsidR="00956045"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ــ رحمه الله ــ </w:t>
      </w: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أيضًا كما في "مجموع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الفتاوى"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(25/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331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6C3D02" w:rsidRPr="000A7FF7" w:rsidRDefault="00687395" w:rsidP="000A7FF7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بل قد شَرَط عليهم أمير المؤمنين عمر بن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الخطاب،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والصحابة،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وسائر أئمة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المسلمين: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أنْ لا يُظهروا أعيادهم في دار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وإنَّما يعملونها سِرًّا في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مساكنهم،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فكيف إذا أظهرَها المسلمون أنفسهم؟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».اهـ</w:t>
      </w:r>
    </w:p>
    <w:p w:rsidR="00A36F65" w:rsidRPr="000A7FF7" w:rsidRDefault="00A36F65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وقال الإمام ابن قيِّمِ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الجوزيَّة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ــ رحمه الله ــ في كتابه "أحكام أهل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الذِّمة"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(2/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722 أو 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3/</w:t>
      </w:r>
      <w:proofErr w:type="spellEnd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 xml:space="preserve"> 1245</w:t>
      </w:r>
      <w:proofErr w:type="spellStart"/>
      <w:r w:rsidRPr="000A7FF7">
        <w:rPr>
          <w:rFonts w:ascii="Times New Roman" w:hAnsi="Times New Roman" w:cs="Times New Roman"/>
          <w:b/>
          <w:bCs/>
          <w:color w:val="002060"/>
          <w:sz w:val="36"/>
          <w:szCs w:val="36"/>
          <w:rtl/>
        </w:rPr>
        <w:t>):</w:t>
      </w:r>
      <w:proofErr w:type="spellEnd"/>
    </w:p>
    <w:p w:rsidR="00A36F65" w:rsidRPr="000A7FF7" w:rsidRDefault="00A36F65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sz w:val="36"/>
          <w:szCs w:val="36"/>
        </w:rPr>
      </w:pP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«</w:t>
      </w:r>
      <w:r w:rsidRPr="000A7FF7">
        <w:rPr>
          <w:rFonts w:ascii="Times New Roman" w:hAnsi="Times New Roman" w:cs="Times New Roman"/>
          <w:sz w:val="36"/>
          <w:szCs w:val="36"/>
          <w:rtl/>
        </w:rPr>
        <w:t xml:space="preserve">وكما أنَّهم لا يجوز لهم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إظهاره،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فلا يجوز للمسلمين مُمالأتهم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عليه،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مُساعدتهم،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ولا الحضور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معهم،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باتفاق أهل العلم الذين هُم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أهله،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وقد صرَّح </w:t>
      </w:r>
      <w:proofErr w:type="spellStart"/>
      <w:r w:rsidRPr="000A7FF7">
        <w:rPr>
          <w:rFonts w:ascii="Times New Roman" w:hAnsi="Times New Roman" w:cs="Times New Roman"/>
          <w:sz w:val="36"/>
          <w:szCs w:val="36"/>
          <w:rtl/>
        </w:rPr>
        <w:t>بِه</w:t>
      </w:r>
      <w:proofErr w:type="spellEnd"/>
      <w:r w:rsidRPr="000A7FF7">
        <w:rPr>
          <w:rFonts w:ascii="Times New Roman" w:hAnsi="Times New Roman" w:cs="Times New Roman"/>
          <w:sz w:val="36"/>
          <w:szCs w:val="36"/>
          <w:rtl/>
        </w:rPr>
        <w:t xml:space="preserve"> الفقهاء مِن أتْبَاع الأئمة الأربعة في كتبهم</w:t>
      </w:r>
      <w:r w:rsidRPr="000A7FF7">
        <w:rPr>
          <w:rFonts w:ascii="Times New Roman" w:hAnsi="Times New Roman" w:cs="Times New Roman"/>
          <w:kern w:val="28"/>
          <w:sz w:val="36"/>
          <w:szCs w:val="36"/>
          <w:rtl/>
        </w:rPr>
        <w:t>»</w:t>
      </w:r>
      <w:r w:rsidRPr="000A7FF7">
        <w:rPr>
          <w:rFonts w:ascii="Times New Roman" w:hAnsi="Times New Roman" w:cs="Times New Roman"/>
          <w:sz w:val="36"/>
          <w:szCs w:val="36"/>
          <w:rtl/>
        </w:rPr>
        <w:t>.اهـ</w:t>
      </w:r>
    </w:p>
    <w:p w:rsidR="00022A81" w:rsidRPr="000A7FF7" w:rsidRDefault="00022A81" w:rsidP="000A7FF7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</w:pPr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lastRenderedPageBreak/>
        <w:t>وكتبه:</w:t>
      </w:r>
    </w:p>
    <w:p w:rsidR="00022A81" w:rsidRPr="0043144B" w:rsidRDefault="00022A81" w:rsidP="000A7FF7">
      <w:pPr>
        <w:spacing w:line="276" w:lineRule="auto"/>
        <w:ind w:left="0"/>
        <w:jc w:val="left"/>
        <w:rPr>
          <w:b/>
          <w:bCs/>
          <w:color w:val="C45911" w:themeColor="accent2" w:themeShade="BF"/>
          <w:sz w:val="36"/>
          <w:szCs w:val="36"/>
        </w:rPr>
      </w:pPr>
      <w:r w:rsidRPr="000A7FF7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عبد</w:t>
      </w:r>
      <w:r w:rsidRPr="0043144B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القادر بن محمد بن عبد الرحمن </w:t>
      </w:r>
      <w:proofErr w:type="spellStart"/>
      <w:r w:rsidRPr="0043144B">
        <w:rPr>
          <w:rFonts w:hint="cs"/>
          <w:b/>
          <w:bCs/>
          <w:color w:val="C45911" w:themeColor="accent2" w:themeShade="BF"/>
          <w:sz w:val="36"/>
          <w:szCs w:val="36"/>
          <w:rtl/>
        </w:rPr>
        <w:t>الجنيد</w:t>
      </w:r>
      <w:proofErr w:type="spellEnd"/>
      <w:r w:rsidRPr="0043144B">
        <w:rPr>
          <w:rFonts w:hint="cs"/>
          <w:b/>
          <w:bCs/>
          <w:color w:val="C45911" w:themeColor="accent2" w:themeShade="BF"/>
          <w:sz w:val="36"/>
          <w:szCs w:val="36"/>
          <w:rtl/>
        </w:rPr>
        <w:t>.</w:t>
      </w:r>
    </w:p>
    <w:sectPr w:rsidR="00022A81" w:rsidRPr="0043144B" w:rsidSect="000A7FF7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381" w:rsidRDefault="008B6381" w:rsidP="000A7FF7">
      <w:pPr>
        <w:spacing w:before="0" w:after="0"/>
      </w:pPr>
      <w:r>
        <w:separator/>
      </w:r>
    </w:p>
  </w:endnote>
  <w:endnote w:type="continuationSeparator" w:id="0">
    <w:p w:rsidR="008B6381" w:rsidRDefault="008B6381" w:rsidP="000A7FF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7398376"/>
      <w:docPartObj>
        <w:docPartGallery w:val="Page Numbers (Bottom of Page)"/>
        <w:docPartUnique/>
      </w:docPartObj>
    </w:sdtPr>
    <w:sdtContent>
      <w:p w:rsidR="000A7FF7" w:rsidRDefault="000A7FF7">
        <w:pPr>
          <w:pStyle w:val="a4"/>
          <w:jc w:val="center"/>
        </w:pPr>
        <w:fldSimple w:instr=" PAGE   \* MERGEFORMAT ">
          <w:r w:rsidRPr="000A7FF7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0A7FF7" w:rsidRDefault="000A7F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381" w:rsidRDefault="008B6381" w:rsidP="000A7FF7">
      <w:pPr>
        <w:spacing w:before="0" w:after="0"/>
      </w:pPr>
      <w:r>
        <w:separator/>
      </w:r>
    </w:p>
  </w:footnote>
  <w:footnote w:type="continuationSeparator" w:id="0">
    <w:p w:rsidR="008B6381" w:rsidRDefault="008B6381" w:rsidP="000A7FF7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723"/>
    <w:rsid w:val="00022A81"/>
    <w:rsid w:val="00083D57"/>
    <w:rsid w:val="000A7FF7"/>
    <w:rsid w:val="000B70C3"/>
    <w:rsid w:val="00113035"/>
    <w:rsid w:val="001175BD"/>
    <w:rsid w:val="001F5D87"/>
    <w:rsid w:val="002203E0"/>
    <w:rsid w:val="00251476"/>
    <w:rsid w:val="00294900"/>
    <w:rsid w:val="002B03E3"/>
    <w:rsid w:val="002D12A6"/>
    <w:rsid w:val="00370195"/>
    <w:rsid w:val="003875A8"/>
    <w:rsid w:val="003E0558"/>
    <w:rsid w:val="00413701"/>
    <w:rsid w:val="0043144B"/>
    <w:rsid w:val="00514B76"/>
    <w:rsid w:val="00544877"/>
    <w:rsid w:val="005770E0"/>
    <w:rsid w:val="00687395"/>
    <w:rsid w:val="006C3D02"/>
    <w:rsid w:val="006E12E9"/>
    <w:rsid w:val="00743D21"/>
    <w:rsid w:val="00756723"/>
    <w:rsid w:val="007D4494"/>
    <w:rsid w:val="008748D5"/>
    <w:rsid w:val="008B44F7"/>
    <w:rsid w:val="008B6381"/>
    <w:rsid w:val="008D4102"/>
    <w:rsid w:val="00956045"/>
    <w:rsid w:val="00974914"/>
    <w:rsid w:val="00A05F29"/>
    <w:rsid w:val="00A36F65"/>
    <w:rsid w:val="00A557CD"/>
    <w:rsid w:val="00A84891"/>
    <w:rsid w:val="00AB5C53"/>
    <w:rsid w:val="00AD4CE7"/>
    <w:rsid w:val="00B8621F"/>
    <w:rsid w:val="00C15B44"/>
    <w:rsid w:val="00C44791"/>
    <w:rsid w:val="00C705DE"/>
    <w:rsid w:val="00EB4CF4"/>
    <w:rsid w:val="00F06306"/>
    <w:rsid w:val="00F61D90"/>
    <w:rsid w:val="00FB20B8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FF7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0A7FF7"/>
  </w:style>
  <w:style w:type="paragraph" w:styleId="a4">
    <w:name w:val="footer"/>
    <w:basedOn w:val="a"/>
    <w:link w:val="Char0"/>
    <w:uiPriority w:val="99"/>
    <w:unhideWhenUsed/>
    <w:rsid w:val="000A7FF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0A7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2018-12-22T05:14:00Z</dcterms:created>
  <dcterms:modified xsi:type="dcterms:W3CDTF">2021-12-21T17:03:00Z</dcterms:modified>
</cp:coreProperties>
</file>